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7E39" w14:textId="7E30E3F7" w:rsidR="008516B4" w:rsidRDefault="00D20995" w:rsidP="005A7B72">
      <w:pPr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</w:pPr>
      <w:bookmarkStart w:id="0" w:name="_Hlk83736113"/>
      <w:r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                          </w:t>
      </w:r>
      <w:r w:rsidR="008516B4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ПРОЕКТ</w:t>
      </w:r>
    </w:p>
    <w:p w14:paraId="6BD5B467" w14:textId="03A3B9B8" w:rsidR="00D20995" w:rsidRPr="00D20995" w:rsidRDefault="008516B4" w:rsidP="005A7B72">
      <w:pPr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r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                          </w:t>
      </w:r>
      <w:r w:rsidR="00D20995"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Приложение</w:t>
      </w:r>
    </w:p>
    <w:p w14:paraId="0076D127" w14:textId="0ADFE452" w:rsidR="00D20995" w:rsidRPr="00D20995" w:rsidRDefault="00D20995" w:rsidP="005A7B72">
      <w:pPr>
        <w:widowControl w:val="0"/>
        <w:tabs>
          <w:tab w:val="left" w:pos="5812"/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r w:rsidRPr="00D20995"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  <w:tab/>
      </w:r>
      <w:r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Утвержден</w:t>
      </w:r>
      <w:r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а</w:t>
      </w:r>
    </w:p>
    <w:p w14:paraId="694270D9" w14:textId="78454A62" w:rsidR="00D20995" w:rsidRPr="00D20995" w:rsidRDefault="00D20995" w:rsidP="005A7B72">
      <w:pPr>
        <w:tabs>
          <w:tab w:val="left" w:pos="6804"/>
        </w:tabs>
        <w:suppressAutoHyphens/>
        <w:autoSpaceDN w:val="0"/>
        <w:spacing w:after="0" w:line="240" w:lineRule="auto"/>
        <w:ind w:firstLine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Распоряжением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</w:p>
    <w:p w14:paraId="34F03111" w14:textId="4D4099B7" w:rsidR="00D20995" w:rsidRPr="00D20995" w:rsidRDefault="00D20995" w:rsidP="005A7B72">
      <w:pPr>
        <w:tabs>
          <w:tab w:val="left" w:pos="6804"/>
        </w:tabs>
        <w:suppressAutoHyphens/>
        <w:autoSpaceDN w:val="0"/>
        <w:spacing w:after="0" w:line="240" w:lineRule="auto"/>
        <w:ind w:left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Суксунского городского округа Пермского края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>от ____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 202</w:t>
      </w:r>
      <w:r w:rsidR="008D456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 № _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</w:t>
      </w:r>
    </w:p>
    <w:p w14:paraId="7D971E42" w14:textId="77777777" w:rsidR="00D20995" w:rsidRPr="00D20995" w:rsidRDefault="00D20995" w:rsidP="00D2099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p w14:paraId="7B833E88" w14:textId="77777777" w:rsidR="00817C36" w:rsidRDefault="00817C36" w:rsidP="00817C3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395989" w14:textId="77777777" w:rsidR="00817C36" w:rsidRDefault="00817C36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B87349" w14:textId="09E51A94" w:rsid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 округа</w:t>
      </w:r>
    </w:p>
    <w:p w14:paraId="192B8BE4" w14:textId="65FE5089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F94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14:paraId="36A27189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AEA36" w14:textId="4C54186F" w:rsidR="00063834" w:rsidRPr="00063834" w:rsidRDefault="00063834" w:rsidP="00063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94"/>
      <w:bookmarkEnd w:id="1"/>
      <w:r w:rsidRPr="00063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B89CC9" w14:textId="77777777" w:rsidR="00BE6C91" w:rsidRDefault="00BE6C91" w:rsidP="002A0C6C"/>
    <w:p w14:paraId="1233B9F2" w14:textId="0058994F" w:rsidR="00DB6E3A" w:rsidRPr="004F7518" w:rsidRDefault="001E4C2E" w:rsidP="00EE169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F948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 профилактики) разработана в соответствии со</w:t>
      </w:r>
      <w:r w:rsidRPr="004F75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248-ФЗ)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</w:t>
      </w:r>
      <w:r w:rsidR="001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DB6E3A"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Суксунского городского округа Пермского края.</w:t>
      </w:r>
    </w:p>
    <w:p w14:paraId="7E386457" w14:textId="1755F6C9" w:rsidR="00B528D7" w:rsidRPr="004F7518" w:rsidRDefault="00B528D7" w:rsidP="004F75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Суксунского городского округа осуществляется Администрацией Суксунского городского округа (далее – Администрация, орган муниципального контроля, контрольный орган).</w:t>
      </w:r>
    </w:p>
    <w:p w14:paraId="21AA2185" w14:textId="3C0D1759" w:rsidR="004029E8" w:rsidRDefault="00702D9E" w:rsidP="004029E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 актами и их отдельных частей (положений), содержащи</w:t>
      </w:r>
      <w:r w:rsidR="0017003D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обязательные требования, соблюдение которых оценивается при проведении 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органом муниципального контроля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контролю в сфере благоустройства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являютс</w:t>
      </w:r>
      <w:r w:rsid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я:</w:t>
      </w:r>
    </w:p>
    <w:p w14:paraId="5D457704" w14:textId="2DC37E79" w:rsidR="00EA7B09" w:rsidRDefault="00EA7B09" w:rsidP="00EA7B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Градостроительный кодекс Российской Федерации;</w:t>
      </w:r>
    </w:p>
    <w:p w14:paraId="5E58EB0B" w14:textId="5471DB19" w:rsidR="004029E8" w:rsidRDefault="004029E8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F860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6D3FE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далее</w:t>
      </w:r>
      <w:proofErr w:type="gramEnd"/>
      <w:r w:rsidR="006D3FE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 131-ФЗ)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0CD89DBE" w14:textId="72C58C11" w:rsidR="00EA7B09" w:rsidRPr="004029E8" w:rsidRDefault="00EA7B09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Приказ Государственного комитета</w:t>
      </w:r>
      <w:r w:rsidR="001120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Российской Федерации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Федерации»;</w:t>
      </w:r>
    </w:p>
    <w:p w14:paraId="7F8CAD7A" w14:textId="3DE1869A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06.10.2020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564-ПК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порядке определения органами местного самоуправления границ прилегающих территорий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2962A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37C1979A" w14:textId="5DA157E6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14.09.2011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805-ПК 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градостроительной деятельности в Пермском крае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131F39BF" w14:textId="715170C5" w:rsid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Думы Суксунского городского округа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«Об утверждении Правил благоустройства территории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Суксунского городского округа Пермского края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76C13646" w14:textId="1B4C9603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Постановлением Администрации Суксунского городского округа от 19.11.2021 № 734 «Об утверждении Порядка уведомления о разработке паспорта благоустройства придомовой территории и учета паспортов благоустройства придомовой территории»</w:t>
      </w:r>
    </w:p>
    <w:p w14:paraId="6D4C0513" w14:textId="2D5655EF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остановление Администрации Суксунского муниципального района от 06.09.2018 № 276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рекламных конструкций на территории Суксунского муниципального района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4B8F95D3" w14:textId="0B7BC1EF" w:rsidR="00AF6993" w:rsidRDefault="00AF6993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Администрации Суксунского городского округа от 17.06.2020 № 508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нестационарных торговых объектов на территории Суксунского городского округа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29541D48" w14:textId="547F5DE0" w:rsidR="006D3FEF" w:rsidRDefault="00112083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9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85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ст.17.1 Закона 131-ФЗ «Организация и осуществление видов муниципального контроля регулируются Закон</w:t>
      </w:r>
      <w:r w:rsid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="00851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тем проведение контрольного мероприятия в рамках Закона № 248-ФЗ возможно в рамках положений, установленных постановлением Правительства Российской Федерации от 10</w:t>
      </w:r>
      <w:r w:rsidR="008516B4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 336 «Об особенностях организации и осуществления государственного контроля (надзора), муниципального контроля» (далее – Постановление № 336), которыми установлены особенности осуществления муниципального контроля, к организации и осуществлению которого применяются положения Закона № 248-ФЗ, в частности</w:t>
      </w:r>
      <w:r w:rsid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E6B06F3" w14:textId="07BBB694" w:rsidR="006D3FEF" w:rsidRPr="006D3FEF" w:rsidRDefault="006D3FEF" w:rsidP="006D3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D3FEF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соответствии с п</w:t>
      </w:r>
      <w:r w:rsidR="008516B4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унктом </w:t>
      </w:r>
      <w:r w:rsidRPr="006D3FEF">
        <w:rPr>
          <w:rFonts w:ascii="Times New Roman" w:eastAsia="Calibri" w:hAnsi="Times New Roman" w:cs="Times New Roman"/>
          <w:kern w:val="2"/>
          <w:sz w:val="28"/>
          <w:szCs w:val="28"/>
        </w:rPr>
        <w:t>9 Постановления № 336 установлено, что д</w:t>
      </w:r>
      <w:r w:rsidRPr="006D3FE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олжностное лицо контрольного (надзорного) органа, уполномоченного на возбуждение дела об административном правонарушении вправе возбудить дело об административном правонарушении исключительно в случае, предусмотренном </w:t>
      </w:r>
      <w:hyperlink r:id="rId7" w:history="1">
        <w:r w:rsidRPr="006D3FEF">
          <w:rPr>
            <w:rFonts w:ascii="Times New Roman" w:hAnsi="Times New Roman" w:cs="Times New Roman"/>
            <w:sz w:val="28"/>
            <w:szCs w:val="28"/>
            <w14:ligatures w14:val="standardContextual"/>
          </w:rPr>
          <w:t>пунктом 3 части 2 статьи 90</w:t>
        </w:r>
      </w:hyperlink>
      <w:r w:rsidRPr="006D3FEF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Закона 248-ФЗ, согласно которого принятие мер по привлечению виновных лиц к установленной законом ответственности возможно при выявлении административного правонарушения в ходе проведения контрольного (надзорного) мероприятия. При этом контрольным (надзорным) мероприятием, в соответствии с ч</w:t>
      </w:r>
      <w:r w:rsidR="003B0F29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астью </w:t>
      </w:r>
      <w:r w:rsidRPr="006D3FEF">
        <w:rPr>
          <w:rFonts w:ascii="Times New Roman" w:hAnsi="Times New Roman" w:cs="Times New Roman"/>
          <w:sz w:val="28"/>
          <w:szCs w:val="28"/>
          <w14:ligatures w14:val="standardContextual"/>
        </w:rPr>
        <w:t>2 ст. 56 Закона 248-ФЗ, является мероприятие, включающее взаимодействие с контролируемым лицом.</w:t>
      </w:r>
    </w:p>
    <w:p w14:paraId="1D487E61" w14:textId="77777777" w:rsidR="006D3FEF" w:rsidRPr="006D3FEF" w:rsidRDefault="006D3FEF" w:rsidP="006D3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AF65019" w14:textId="0733A7AC" w:rsidR="006D3FEF" w:rsidRPr="006D3FEF" w:rsidRDefault="006D3FEF" w:rsidP="006D3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D3FEF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На основании положений подпункта «а» пункта 3 Постановления № 336 </w:t>
      </w:r>
      <w:r w:rsidR="00CF09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установлено ряд оснований </w:t>
      </w:r>
      <w:r w:rsidRPr="006D3FE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проведения внепланового контрольного (надзорного) мероприятия, </w:t>
      </w:r>
      <w:r w:rsidR="00CF09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 этом в течении 2022 года </w:t>
      </w:r>
      <w:r w:rsidR="00344DD8">
        <w:rPr>
          <w:rFonts w:ascii="Times New Roman" w:eastAsia="Calibri" w:hAnsi="Times New Roman" w:cs="Times New Roman"/>
          <w:kern w:val="2"/>
          <w:sz w:val="28"/>
          <w:szCs w:val="28"/>
        </w:rPr>
        <w:t>не поступали обращения, рассматриваемы</w:t>
      </w:r>
      <w:r w:rsidR="00B65AD1"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="00344DD8">
        <w:rPr>
          <w:rFonts w:ascii="Times New Roman" w:eastAsia="Calibri" w:hAnsi="Times New Roman" w:cs="Times New Roman"/>
          <w:kern w:val="2"/>
          <w:sz w:val="28"/>
          <w:szCs w:val="28"/>
        </w:rPr>
        <w:t>, как основание для проведения внепланового контрольного мероприятия.</w:t>
      </w:r>
    </w:p>
    <w:p w14:paraId="0AC48FFE" w14:textId="05C2F845" w:rsidR="00063834" w:rsidRDefault="00D62BA0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установленных Постановлением №336 особенностей осуществления муниципального контроля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приоритетным направлением для инспекторского состава КНО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BF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4151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="004151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мероприятия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законодательства</w:t>
      </w:r>
      <w:r w:rsidR="00415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мероприятия:</w:t>
      </w:r>
    </w:p>
    <w:p w14:paraId="07EE89AB" w14:textId="77777777" w:rsidR="00877713" w:rsidRPr="001E4C2E" w:rsidRDefault="00877713" w:rsidP="008777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№1</w:t>
      </w:r>
    </w:p>
    <w:p w14:paraId="368D7B3F" w14:textId="77777777" w:rsidR="000A1591" w:rsidRDefault="000A1591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71"/>
        <w:gridCol w:w="7335"/>
      </w:tblGrid>
      <w:tr w:rsidR="008B1D55" w:rsidRPr="004E6218" w14:paraId="17911543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5BB1D5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2CC2204E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5E27B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37DFCA" w14:textId="46237CB9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</w:tr>
      <w:tr w:rsidR="008B1D55" w:rsidRPr="004E6218" w14:paraId="2C042D97" w14:textId="77777777" w:rsidTr="008B1D55">
        <w:trPr>
          <w:trHeight w:val="386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E96CC1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FDF18C" w14:textId="77777777" w:rsidR="008B1D55" w:rsidRPr="00896D10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AC419F" w14:textId="77777777" w:rsidR="008B1D55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2022 года н</w:t>
            </w: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сайте округа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</w:p>
          <w:p w14:paraId="545E772F" w14:textId="77777777" w:rsidR="008B1D55" w:rsidRPr="00896D10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 на ЕПГУ и инструкция о досудебном обжаловании решений КНО, о моратории по КНМ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0F1AD1" w14:textId="77777777" w:rsidR="008B1D55" w:rsidRDefault="008B1D55" w:rsidP="00F101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896D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ешение Думы Суксунского городского округа от 28.04.2022 № 279 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6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внесении изменений в Положение о муниципальном контроле в сфере благоустройства на территории Суксунского городского округа, утвержденное решением Думы Суксунского городского округа Пермского края от 28.10.2021 № 246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14:paraId="0DD47E76" w14:textId="3DC9455B" w:rsidR="008B1D55" w:rsidRPr="004E6218" w:rsidRDefault="008B1D55" w:rsidP="008B1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</w:tr>
      <w:tr w:rsidR="008B1D55" w:rsidRPr="004E6218" w14:paraId="5D52F043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755C097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FCA2650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C421786" w14:textId="32AB823A" w:rsidR="008B1D55" w:rsidRPr="00B457A1" w:rsidRDefault="008B1D55" w:rsidP="00B457A1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</w:t>
            </w:r>
            <w:r w:rsidRPr="00B457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поступившим в 2022 году 5 однотипным обращениям о произрастании борщевика «Сосновского»</w:t>
            </w:r>
            <w:r w:rsidR="0087771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457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 официальном сайте Администрации Суксунского городского округа</w:t>
            </w:r>
            <w:r w:rsidR="0087771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00B457A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на странице «муниципальный контроль в сфере благоустройства» во вкладке «консультирование» размещено разъяснение о недопустимости распространения борщевика «Сосновского».</w:t>
            </w:r>
          </w:p>
          <w:p w14:paraId="6E8D51AF" w14:textId="77777777" w:rsidR="008B1D55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По состоянию на 26.09.2022 г. Проведено 16 консультирований, в том числе 4 при личном обращении по следующим вопросам:</w:t>
            </w:r>
          </w:p>
          <w:p w14:paraId="3E8396E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59408D75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58BC00A" w14:textId="0F2C3DFB" w:rsidR="008B1D55" w:rsidRPr="004E6218" w:rsidRDefault="008B1D55" w:rsidP="00F3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</w:t>
            </w:r>
            <w:r w:rsidR="00F32DE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</w:tr>
      <w:tr w:rsidR="008B1D55" w:rsidRPr="004E6218" w14:paraId="30A7AC2F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08B4F49" w14:textId="7A2E2B34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3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6B6D6A8D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A8D1AE9" w14:textId="6EC1A48E" w:rsidR="008B1D55" w:rsidRPr="008B3C55" w:rsidRDefault="008B1D55" w:rsidP="00F1010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По состоянию на 26.09.2022 проведен 1 профилактический визит </w:t>
            </w:r>
          </w:p>
          <w:p w14:paraId="0DA2912A" w14:textId="268E2503" w:rsidR="008B1D55" w:rsidRPr="004E6218" w:rsidRDefault="008B1D55" w:rsidP="008B1D55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8B1D55" w:rsidRPr="004E6218" w14:paraId="12E40E89" w14:textId="77777777" w:rsidTr="00F731C2"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B855C32" w14:textId="1FFB7543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4.</w:t>
            </w:r>
          </w:p>
        </w:tc>
        <w:tc>
          <w:tcPr>
            <w:tcW w:w="207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62EAAD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2E1937E" w14:textId="775D645F" w:rsidR="008B1D55" w:rsidRPr="004E6218" w:rsidRDefault="00F32DEF" w:rsidP="00877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26.09.2022, на основании поступивших в обращении граждан 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сведений о готовящихся или возможных нарушениях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контрольным органом объявлено 54 предостережения о недопустимости нарушения обязательных требований, установленных Правилами благоустройства территории Суксунского городского округа Пермского края</w:t>
            </w:r>
            <w:r w:rsidR="0087771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gramStart"/>
            <w:r w:rsidR="00877713">
              <w:rPr>
                <w:rFonts w:ascii="Times New Roman" w:hAnsi="Times New Roman"/>
                <w:sz w:val="24"/>
                <w:szCs w:val="24"/>
              </w:rPr>
              <w:t xml:space="preserve">предложением </w:t>
            </w:r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принят</w:t>
            </w:r>
            <w:r w:rsidR="00877713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мер по обеспечению соблюдения обязательных требований.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669B150" w14:textId="125756D7" w:rsidR="006A66D5" w:rsidRDefault="00F9166D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14:paraId="1F898BBB" w14:textId="77777777" w:rsidR="006A66D5" w:rsidRPr="006A66D5" w:rsidRDefault="006A66D5" w:rsidP="006A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- 20 % (Показатель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мероприятий);</w:t>
      </w:r>
    </w:p>
    <w:p w14:paraId="7AC23C9A" w14:textId="23E04E6A" w:rsidR="006A66D5" w:rsidRPr="006A66D5" w:rsidRDefault="006A66D5" w:rsidP="006A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мероприятий-8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показателя).</w:t>
      </w:r>
    </w:p>
    <w:p w14:paraId="7EB3D9FE" w14:textId="690624D8" w:rsidR="00F9166D" w:rsidRDefault="006A66D5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п</w:t>
      </w:r>
      <w:r w:rsidR="00934176"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4176"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4176"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</w:t>
      </w:r>
      <w:r w:rsidR="00ED1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не представляется возможным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пров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мероприятий, по причине введенных 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на проведение </w:t>
      </w:r>
      <w:r w:rsidR="002B4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C744FD" w14:textId="77777777" w:rsidR="008F1734" w:rsidRPr="008F1734" w:rsidRDefault="008F1734" w:rsidP="008F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мероприятий:</w:t>
      </w:r>
    </w:p>
    <w:p w14:paraId="16AE556F" w14:textId="0350C711" w:rsidR="008F1734" w:rsidRPr="008F1734" w:rsidRDefault="008F1734" w:rsidP="008F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требований, а не проведение внеплановой проверки;</w:t>
      </w:r>
    </w:p>
    <w:p w14:paraId="39104DA7" w14:textId="77777777" w:rsidR="008F1734" w:rsidRPr="008F1734" w:rsidRDefault="008F1734" w:rsidP="008F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 органу муниципального контроля. </w:t>
      </w:r>
    </w:p>
    <w:p w14:paraId="0C6E4B05" w14:textId="47708F13" w:rsidR="00912294" w:rsidRPr="00912294" w:rsidRDefault="002B4AC7" w:rsidP="00912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2" w:name="Par175"/>
      <w:bookmarkEnd w:id="2"/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912294" w:rsidRPr="009122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Цели и задачи Программы</w:t>
      </w:r>
      <w:r w:rsidR="00817C3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профилактики</w:t>
      </w:r>
    </w:p>
    <w:p w14:paraId="7E40C77E" w14:textId="6FDFEB2C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Цели Программы:</w:t>
      </w:r>
    </w:p>
    <w:p w14:paraId="16323452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1F0DF7E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EBD851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3D68A3E" w14:textId="557B44E9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Задачи Программы:</w:t>
      </w:r>
    </w:p>
    <w:p w14:paraId="08825F3E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C8C8499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5C7A878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5796B0A0" w14:textId="4C290BD1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контрольной деятельности;</w:t>
      </w:r>
    </w:p>
    <w:p w14:paraId="4B02CA5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36B22B0" w14:textId="77777777" w:rsidR="001E4C2E" w:rsidRPr="001E4C2E" w:rsidRDefault="001E4C2E" w:rsidP="001E4C2E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EA072" w14:textId="42BFCE51" w:rsidR="001E4C2E" w:rsidRPr="00B424F8" w:rsidRDefault="001E4C2E" w:rsidP="00B424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14:paraId="65B0D598" w14:textId="77777777" w:rsidR="000B6035" w:rsidRPr="000B6035" w:rsidRDefault="000B6035" w:rsidP="000B6035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9D182" w14:textId="3615D6DD" w:rsid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комплекс мер, направленных на достижение целей и решение основных задач Программы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год, сроки (периодичность) их проведения и ответственные структурные подразделения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№1 </w:t>
      </w:r>
    </w:p>
    <w:p w14:paraId="1647B375" w14:textId="77777777" w:rsidR="000B6035" w:rsidRP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D51C" w14:textId="512D922C" w:rsidR="001E4C2E" w:rsidRPr="001E4C2E" w:rsidRDefault="000B6035" w:rsidP="000B60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Таблица №</w:t>
      </w:r>
      <w:r w:rsidR="00877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2834"/>
        <w:gridCol w:w="2240"/>
        <w:gridCol w:w="2019"/>
      </w:tblGrid>
      <w:tr w:rsidR="00264923" w:rsidRPr="004E6218" w14:paraId="494BF0A6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E0655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C9D1339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F75044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CF238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9308A6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BFA5E3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64923" w:rsidRPr="004E6218" w14:paraId="5749A09B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5BDB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FEF8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8EA25B" w14:textId="1BCABDE4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DF75A0B" w14:textId="09308E36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телекоммуникационной сети "Интернет" и в иных формах.</w:t>
            </w:r>
          </w:p>
          <w:p w14:paraId="754641CB" w14:textId="59E4567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2356F4DF" w14:textId="7512CB5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59FCC6AF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515EFFD7" w14:textId="69658D08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вреда;</w:t>
            </w:r>
          </w:p>
          <w:p w14:paraId="71C73B65" w14:textId="48EF2CB2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14:paraId="033E7E6B" w14:textId="0462C0FC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14:paraId="69CF0731" w14:textId="120E0199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14:paraId="0F847191" w14:textId="75C03570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AD1500" w14:textId="72BD8E5D" w:rsidR="00640F0F" w:rsidRPr="004E6218" w:rsidRDefault="00640F0F" w:rsidP="00640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исключение составляют должностные лица, ответственные за информирование в письменной форме, которые назначаются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отдельным решением руководителя КНО</w:t>
            </w:r>
          </w:p>
          <w:p w14:paraId="5FCFB89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65A09A37" w14:textId="32879574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49122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264923" w:rsidRPr="004E6218" w14:paraId="507E30CC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6037CF0" w14:textId="07F25BB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EDCA7E7" w14:textId="33B151C2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49A536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F7E3451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14:paraId="47A9CD1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582E822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B445AAE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58577B62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0C7D6FF" w14:textId="6135E6FA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022222E9" w14:textId="48F95893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5F75E57" w14:textId="2B8D1D45" w:rsidR="00E55EF2" w:rsidRPr="004E6218" w:rsidRDefault="00396389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1B3B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исключение составляют должностные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лица, ответственные за консультирование в письменной форме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которые назначаются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отдельным решением руководителя КНО</w:t>
            </w:r>
          </w:p>
          <w:p w14:paraId="72A1FDE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95E4FA" w14:textId="4DEAEFAB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264923" w:rsidRPr="004E6218" w14:paraId="218CC521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A3369F" w14:textId="6500B13C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73433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6331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0434709" w14:textId="0214073B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268005" w14:textId="5DF6EABC" w:rsidR="00396389" w:rsidRPr="00396389" w:rsidRDefault="00640F0F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Андреева Ольга Петровна – консультант Управления по работе с территориями Администрации Суксунского городского округа</w:t>
            </w:r>
          </w:p>
          <w:p w14:paraId="7008EEE5" w14:textId="02003719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C1C41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264923" w:rsidRPr="004E6218" w14:paraId="61319AB9" w14:textId="77777777" w:rsidTr="00C817E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35E335F" w14:textId="450D80EC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4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0FE5AAB1" w14:textId="3217AD76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1664588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Профилактический визит </w:t>
            </w: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B865F0D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</w:t>
            </w:r>
          </w:p>
          <w:p w14:paraId="4CF95E19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обязательных требованиях, предъявляемых к его деятельности либо к принадлежащим ему объектам контроля.</w:t>
            </w:r>
          </w:p>
          <w:p w14:paraId="78D20058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0F85F19" w14:textId="04A99D0F" w:rsidR="00396389" w:rsidRPr="00396389" w:rsidRDefault="00396389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назначаемые решением руководителя КНО</w:t>
            </w:r>
          </w:p>
          <w:p w14:paraId="586626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2B642B14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CD56287" w14:textId="131D93BA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4923" w:rsidRPr="004E6218" w14:paraId="591CE67B" w14:textId="77777777" w:rsidTr="00A31B04"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660D2D8" w14:textId="69E327A7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5.</w:t>
            </w:r>
          </w:p>
        </w:tc>
        <w:tc>
          <w:tcPr>
            <w:tcW w:w="2313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B856F80" w14:textId="4A751EC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</w:t>
            </w:r>
            <w:r w:rsidRPr="002B2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9136E55" w14:textId="0A2A0AA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наличии сведений о готовящихся или возможных нарушениях </w:t>
            </w:r>
            <w:r w:rsidRPr="002B252F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4A7A9A6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органа муниципального </w:t>
            </w: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 в сфере благоустройства на территории Суксунского городского округа, назначаемые решением руководителя КНО</w:t>
            </w:r>
          </w:p>
          <w:p w14:paraId="4F2405BE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14:paraId="50111A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797C999A" w14:textId="5FEE4CF5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C1DAA59" w14:textId="1F368941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 xml:space="preserve">Постоянно в случаях, 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предусмотренных законодательством</w:t>
            </w:r>
          </w:p>
        </w:tc>
      </w:tr>
    </w:tbl>
    <w:p w14:paraId="420F84A6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0A201" w14:textId="6C11C874" w:rsidR="001E4C2E" w:rsidRPr="006A714C" w:rsidRDefault="001E4C2E" w:rsidP="006A71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14:paraId="1788898E" w14:textId="3E924AA3" w:rsidR="006A714C" w:rsidRDefault="006A714C" w:rsidP="00F93A8C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4683E6" w14:textId="640717CC" w:rsidR="006A714C" w:rsidRPr="00F93A8C" w:rsidRDefault="001E3499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4.1.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Программы:</w:t>
      </w:r>
    </w:p>
    <w:p w14:paraId="6857DD02" w14:textId="430546A3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A651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BF6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 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13B81C90" w14:textId="1C143680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(п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92C7750" w14:textId="147EA838" w:rsidR="006A714C" w:rsidRPr="00F93A8C" w:rsidRDefault="001E3499" w:rsidP="00F91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4.2.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14:paraId="59E9F7FA" w14:textId="47580071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преобладает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направление 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 лицам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предостережени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недопустимости нарушения обязательных требований, а не проведение внеплановой проверки;</w:t>
      </w:r>
    </w:p>
    <w:p w14:paraId="7FDB0955" w14:textId="4CD74BE0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C41B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органу муниципального контроля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58790084" w14:textId="16AD4181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путем исполнения организационных и профилактических мероприятий в соответствии с 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нарушений при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07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приведенных в таблице № </w:t>
      </w:r>
      <w:r w:rsidR="00A07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515A996" w14:textId="7076E0CD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Результаты профилактической работы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органом муниципального контроля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 Пермского края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202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 </w:t>
      </w:r>
    </w:p>
    <w:p w14:paraId="15FCA708" w14:textId="77777777" w:rsidR="006A714C" w:rsidRPr="00F93A8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6281F" w14:textId="77777777" w:rsidR="006A714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14C" w:rsidSect="003C5CE4">
      <w:headerReference w:type="even" r:id="rId9"/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9A02" w14:textId="77777777" w:rsidR="00090EB1" w:rsidRDefault="00090EB1" w:rsidP="00332007">
      <w:pPr>
        <w:spacing w:after="0" w:line="240" w:lineRule="auto"/>
      </w:pPr>
      <w:r>
        <w:separator/>
      </w:r>
    </w:p>
  </w:endnote>
  <w:endnote w:type="continuationSeparator" w:id="0">
    <w:p w14:paraId="4CCEDCB8" w14:textId="77777777" w:rsidR="00090EB1" w:rsidRDefault="00090EB1" w:rsidP="003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FDD0" w14:textId="77777777" w:rsidR="00090EB1" w:rsidRDefault="00090EB1" w:rsidP="00332007">
      <w:pPr>
        <w:spacing w:after="0" w:line="240" w:lineRule="auto"/>
      </w:pPr>
      <w:r>
        <w:separator/>
      </w:r>
    </w:p>
  </w:footnote>
  <w:footnote w:type="continuationSeparator" w:id="0">
    <w:p w14:paraId="0476CDE9" w14:textId="77777777" w:rsidR="00090EB1" w:rsidRDefault="00090EB1" w:rsidP="003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3E72" w14:textId="31C62E56" w:rsidR="006B5BF0" w:rsidRPr="006B5BF0" w:rsidRDefault="006B5BF0" w:rsidP="006B5BF0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397065"/>
      <w:docPartObj>
        <w:docPartGallery w:val="Page Numbers (Top of Page)"/>
        <w:docPartUnique/>
      </w:docPartObj>
    </w:sdtPr>
    <w:sdtContent>
      <w:p w14:paraId="2CA5D0D2" w14:textId="329D0844" w:rsidR="003C5CE4" w:rsidRDefault="003C5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89918" w14:textId="02B31E80" w:rsidR="00032A23" w:rsidRPr="006B5BF0" w:rsidRDefault="00032A23" w:rsidP="006B5B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30C"/>
    <w:multiLevelType w:val="hybridMultilevel"/>
    <w:tmpl w:val="29A2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941E3"/>
    <w:multiLevelType w:val="multilevel"/>
    <w:tmpl w:val="92DA1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5A608E"/>
    <w:multiLevelType w:val="hybridMultilevel"/>
    <w:tmpl w:val="BA7812AE"/>
    <w:lvl w:ilvl="0" w:tplc="3738C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6C093C"/>
    <w:multiLevelType w:val="hybridMultilevel"/>
    <w:tmpl w:val="B96C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B18"/>
    <w:multiLevelType w:val="hybridMultilevel"/>
    <w:tmpl w:val="741C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2926066">
    <w:abstractNumId w:val="5"/>
  </w:num>
  <w:num w:numId="2" w16cid:durableId="1463617695">
    <w:abstractNumId w:val="1"/>
  </w:num>
  <w:num w:numId="3" w16cid:durableId="1227955374">
    <w:abstractNumId w:val="3"/>
  </w:num>
  <w:num w:numId="4" w16cid:durableId="2035155168">
    <w:abstractNumId w:val="2"/>
  </w:num>
  <w:num w:numId="5" w16cid:durableId="839856434">
    <w:abstractNumId w:val="0"/>
  </w:num>
  <w:num w:numId="6" w16cid:durableId="1044602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E"/>
    <w:rsid w:val="0001688B"/>
    <w:rsid w:val="00032A23"/>
    <w:rsid w:val="00063834"/>
    <w:rsid w:val="0006700E"/>
    <w:rsid w:val="00090622"/>
    <w:rsid w:val="00090EB1"/>
    <w:rsid w:val="000A1591"/>
    <w:rsid w:val="000B6035"/>
    <w:rsid w:val="000F53B1"/>
    <w:rsid w:val="00104D6F"/>
    <w:rsid w:val="00112083"/>
    <w:rsid w:val="00131BDC"/>
    <w:rsid w:val="0017003D"/>
    <w:rsid w:val="00180724"/>
    <w:rsid w:val="001B3B48"/>
    <w:rsid w:val="001E3499"/>
    <w:rsid w:val="001E4C2E"/>
    <w:rsid w:val="001F04F0"/>
    <w:rsid w:val="00220248"/>
    <w:rsid w:val="002302E4"/>
    <w:rsid w:val="0024055B"/>
    <w:rsid w:val="00240DE0"/>
    <w:rsid w:val="0026065E"/>
    <w:rsid w:val="00264923"/>
    <w:rsid w:val="002962A2"/>
    <w:rsid w:val="002A0C6C"/>
    <w:rsid w:val="002B4AC7"/>
    <w:rsid w:val="00332007"/>
    <w:rsid w:val="00334F3C"/>
    <w:rsid w:val="003418A2"/>
    <w:rsid w:val="00344DD8"/>
    <w:rsid w:val="00361E54"/>
    <w:rsid w:val="00370EDC"/>
    <w:rsid w:val="00396389"/>
    <w:rsid w:val="003B0F29"/>
    <w:rsid w:val="003B3B3E"/>
    <w:rsid w:val="003C5CE4"/>
    <w:rsid w:val="004029E8"/>
    <w:rsid w:val="00415137"/>
    <w:rsid w:val="00461674"/>
    <w:rsid w:val="00475AC4"/>
    <w:rsid w:val="004E6218"/>
    <w:rsid w:val="004F7518"/>
    <w:rsid w:val="00507884"/>
    <w:rsid w:val="0053689B"/>
    <w:rsid w:val="00543BF8"/>
    <w:rsid w:val="00571933"/>
    <w:rsid w:val="005A0BA3"/>
    <w:rsid w:val="005A7B72"/>
    <w:rsid w:val="005B390A"/>
    <w:rsid w:val="00607221"/>
    <w:rsid w:val="00640F0F"/>
    <w:rsid w:val="00644E2D"/>
    <w:rsid w:val="006667A0"/>
    <w:rsid w:val="006A66D5"/>
    <w:rsid w:val="006A714C"/>
    <w:rsid w:val="006B5BF0"/>
    <w:rsid w:val="006C2D3B"/>
    <w:rsid w:val="006D3FEF"/>
    <w:rsid w:val="006E61F5"/>
    <w:rsid w:val="006F4EF5"/>
    <w:rsid w:val="00702D9E"/>
    <w:rsid w:val="007129A3"/>
    <w:rsid w:val="00715D0C"/>
    <w:rsid w:val="00721638"/>
    <w:rsid w:val="00732C58"/>
    <w:rsid w:val="007A43AD"/>
    <w:rsid w:val="007D2E82"/>
    <w:rsid w:val="007D4201"/>
    <w:rsid w:val="00817C36"/>
    <w:rsid w:val="0083614C"/>
    <w:rsid w:val="008516B4"/>
    <w:rsid w:val="00874EA2"/>
    <w:rsid w:val="00877713"/>
    <w:rsid w:val="00896D10"/>
    <w:rsid w:val="008B1D55"/>
    <w:rsid w:val="008D4565"/>
    <w:rsid w:val="008E2CB9"/>
    <w:rsid w:val="008E3B22"/>
    <w:rsid w:val="008F1734"/>
    <w:rsid w:val="00912294"/>
    <w:rsid w:val="00934176"/>
    <w:rsid w:val="0096219E"/>
    <w:rsid w:val="009B5E94"/>
    <w:rsid w:val="00A072DB"/>
    <w:rsid w:val="00A306A3"/>
    <w:rsid w:val="00A442BA"/>
    <w:rsid w:val="00A651CF"/>
    <w:rsid w:val="00A718A9"/>
    <w:rsid w:val="00AA24D3"/>
    <w:rsid w:val="00AB2D36"/>
    <w:rsid w:val="00AE5EA2"/>
    <w:rsid w:val="00AF6993"/>
    <w:rsid w:val="00AF74AD"/>
    <w:rsid w:val="00B424F8"/>
    <w:rsid w:val="00B457A1"/>
    <w:rsid w:val="00B46A51"/>
    <w:rsid w:val="00B528D7"/>
    <w:rsid w:val="00B53610"/>
    <w:rsid w:val="00B62FA1"/>
    <w:rsid w:val="00B65AD1"/>
    <w:rsid w:val="00BA4A5A"/>
    <w:rsid w:val="00BE2E70"/>
    <w:rsid w:val="00BE6C91"/>
    <w:rsid w:val="00BE794C"/>
    <w:rsid w:val="00BF6F3E"/>
    <w:rsid w:val="00C3341F"/>
    <w:rsid w:val="00C41B36"/>
    <w:rsid w:val="00C775E4"/>
    <w:rsid w:val="00CB7B61"/>
    <w:rsid w:val="00CF09F2"/>
    <w:rsid w:val="00D20995"/>
    <w:rsid w:val="00D62BA0"/>
    <w:rsid w:val="00D71C2F"/>
    <w:rsid w:val="00DA49FC"/>
    <w:rsid w:val="00DB6E3A"/>
    <w:rsid w:val="00DF7078"/>
    <w:rsid w:val="00E419EA"/>
    <w:rsid w:val="00E55EF2"/>
    <w:rsid w:val="00E6679B"/>
    <w:rsid w:val="00E74ED5"/>
    <w:rsid w:val="00EA0DC6"/>
    <w:rsid w:val="00EA39ED"/>
    <w:rsid w:val="00EA7B09"/>
    <w:rsid w:val="00EB2650"/>
    <w:rsid w:val="00ED1812"/>
    <w:rsid w:val="00F32DEF"/>
    <w:rsid w:val="00F82E37"/>
    <w:rsid w:val="00F8609D"/>
    <w:rsid w:val="00F9166D"/>
    <w:rsid w:val="00F93A8C"/>
    <w:rsid w:val="00F94853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2AA"/>
  <w15:chartTrackingRefBased/>
  <w15:docId w15:val="{5D2078BA-8E0E-4EEF-AC18-64BC629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007"/>
  </w:style>
  <w:style w:type="paragraph" w:styleId="a6">
    <w:name w:val="footer"/>
    <w:basedOn w:val="a"/>
    <w:link w:val="a7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007"/>
  </w:style>
  <w:style w:type="character" w:styleId="a8">
    <w:name w:val="Hyperlink"/>
    <w:basedOn w:val="a0"/>
    <w:uiPriority w:val="99"/>
    <w:semiHidden/>
    <w:unhideWhenUsed/>
    <w:rsid w:val="00896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ksun.ru/upload/versions/26011/189680/279.p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D6B34F838C1B16B80E5CD7D434293F2DE15789AE8FD64B7FB1AE84AE68A30F54DC4EF3BF5D321B4069675F83E8F50C7F77B72B87CD76EB5m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10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2021-09-24T03:37:00Z</dcterms:created>
  <dcterms:modified xsi:type="dcterms:W3CDTF">2022-09-29T09:16:00Z</dcterms:modified>
</cp:coreProperties>
</file>