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6E4D24" w:rsidRDefault="00454634" w:rsidP="00830DC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</w:t>
      </w:r>
      <w:r w:rsidR="006E4D24">
        <w:rPr>
          <w:rFonts w:ascii="Times New Roman" w:hAnsi="Times New Roman"/>
          <w:b/>
          <w:sz w:val="28"/>
          <w:szCs w:val="28"/>
        </w:rPr>
        <w:t xml:space="preserve"> </w:t>
      </w:r>
      <w:r w:rsidR="00B75DCF" w:rsidRPr="00B75DCF">
        <w:rPr>
          <w:rFonts w:ascii="Times New Roman" w:hAnsi="Times New Roman"/>
          <w:b/>
          <w:sz w:val="28"/>
          <w:szCs w:val="28"/>
        </w:rPr>
        <w:t>отчетности</w:t>
      </w:r>
    </w:p>
    <w:p w:rsidR="006E4D24" w:rsidRDefault="00B75DCF" w:rsidP="00830DC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</w:t>
      </w:r>
      <w:r w:rsidR="006E4D24">
        <w:rPr>
          <w:rFonts w:ascii="Times New Roman" w:hAnsi="Times New Roman"/>
          <w:b/>
          <w:sz w:val="28"/>
          <w:szCs w:val="28"/>
        </w:rPr>
        <w:t xml:space="preserve"> </w:t>
      </w:r>
      <w:r w:rsidRPr="00B75DCF">
        <w:rPr>
          <w:rFonts w:ascii="Times New Roman" w:hAnsi="Times New Roman"/>
          <w:b/>
          <w:sz w:val="28"/>
          <w:szCs w:val="28"/>
        </w:rPr>
        <w:t>средств</w:t>
      </w:r>
    </w:p>
    <w:p w:rsidR="006E4D24" w:rsidRDefault="00740C12" w:rsidP="00830DC3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Управления </w:t>
      </w:r>
      <w:r w:rsidR="00830DC3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капитального строительства</w:t>
      </w:r>
      <w:r w:rsidR="006E4D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6E4D24" w:rsidRDefault="00740C12" w:rsidP="00830DC3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 городского округа</w:t>
      </w:r>
      <w:r w:rsidR="006E4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p w:rsidR="00B75DCF" w:rsidRPr="00740C12" w:rsidRDefault="00B75DCF" w:rsidP="00830DC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</w:t>
      </w:r>
      <w:r w:rsidR="00CE2344">
        <w:rPr>
          <w:rFonts w:ascii="Times New Roman" w:hAnsi="Times New Roman"/>
          <w:b/>
          <w:sz w:val="28"/>
          <w:szCs w:val="28"/>
        </w:rPr>
        <w:t>3</w:t>
      </w:r>
      <w:r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6E4D24" w:rsidRDefault="006E4D24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BD2196">
        <w:rPr>
          <w:rFonts w:ascii="Times New Roman" w:hAnsi="Times New Roman"/>
          <w:sz w:val="28"/>
          <w:szCs w:val="28"/>
        </w:rPr>
        <w:t>13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BD2196">
        <w:rPr>
          <w:rFonts w:ascii="Times New Roman" w:hAnsi="Times New Roman"/>
          <w:sz w:val="28"/>
          <w:szCs w:val="28"/>
        </w:rPr>
        <w:t>мая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</w:t>
      </w:r>
      <w:r w:rsidR="00CE2344">
        <w:rPr>
          <w:rFonts w:ascii="Times New Roman" w:hAnsi="Times New Roman"/>
          <w:sz w:val="28"/>
          <w:szCs w:val="28"/>
        </w:rPr>
        <w:t>4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BD2196">
        <w:rPr>
          <w:rFonts w:ascii="Times New Roman" w:hAnsi="Times New Roman"/>
          <w:sz w:val="28"/>
          <w:szCs w:val="28"/>
        </w:rPr>
        <w:t xml:space="preserve">                          </w:t>
      </w:r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BD2196">
        <w:rPr>
          <w:rFonts w:ascii="Times New Roman" w:hAnsi="Times New Roman"/>
          <w:sz w:val="28"/>
          <w:szCs w:val="28"/>
        </w:rPr>
        <w:t>7</w:t>
      </w:r>
    </w:p>
    <w:p w:rsidR="003958FB" w:rsidRDefault="003958FB" w:rsidP="00830DC3">
      <w:pPr>
        <w:pStyle w:val="a5"/>
        <w:tabs>
          <w:tab w:val="left" w:pos="708"/>
        </w:tabs>
        <w:rPr>
          <w:sz w:val="28"/>
          <w:szCs w:val="28"/>
        </w:rPr>
      </w:pPr>
    </w:p>
    <w:p w:rsidR="006E4D24" w:rsidRPr="007C5268" w:rsidRDefault="006E4D24" w:rsidP="00830DC3">
      <w:pPr>
        <w:pStyle w:val="a5"/>
        <w:tabs>
          <w:tab w:val="left" w:pos="708"/>
        </w:tabs>
        <w:rPr>
          <w:sz w:val="28"/>
          <w:szCs w:val="28"/>
        </w:rPr>
      </w:pPr>
    </w:p>
    <w:p w:rsidR="00CE2344" w:rsidRPr="009F7DCC" w:rsidRDefault="001B7F56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11E9C"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2.3 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D11E9C" w:rsidRPr="009F7D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B7"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Суксунского городского округа Пермского края на 202</w:t>
      </w:r>
      <w:r w:rsidR="00CE2344" w:rsidRPr="009F7D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00CB7"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 w:rsidR="00CE2344"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E7D" w:rsidRPr="009F7DCC">
        <w:rPr>
          <w:rFonts w:ascii="Times New Roman" w:eastAsia="Times New Roman" w:hAnsi="Times New Roman"/>
          <w:sz w:val="28"/>
          <w:szCs w:val="28"/>
          <w:lang w:eastAsia="ru-RU"/>
        </w:rPr>
        <w:t>на основании расп</w:t>
      </w:r>
      <w:r w:rsidR="007D5E7D" w:rsidRPr="009F7D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D5E7D"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ряжения Контрольно-счетной палаты Суксунского городского округа Пермского края </w:t>
      </w:r>
      <w:r w:rsidR="000E1B5A"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E2344" w:rsidRPr="009F7DCC">
        <w:rPr>
          <w:rFonts w:ascii="Times New Roman" w:eastAsia="Times New Roman" w:hAnsi="Times New Roman"/>
          <w:sz w:val="28"/>
          <w:szCs w:val="28"/>
          <w:lang w:eastAsia="ru-RU"/>
        </w:rPr>
        <w:t>11.04.2024 № 13 «О проведении внешней проверки бюджетной отчетности УКС Суксунского городского округа за 2023 год» проведен</w:t>
      </w:r>
      <w:r w:rsidR="000E1B5A" w:rsidRPr="009F7DCC">
        <w:rPr>
          <w:rFonts w:ascii="Times New Roman" w:eastAsia="Times New Roman" w:hAnsi="Times New Roman"/>
          <w:sz w:val="28"/>
          <w:szCs w:val="28"/>
          <w:lang w:eastAsia="ru-RU"/>
        </w:rPr>
        <w:t>о контрольное мер</w:t>
      </w:r>
      <w:r w:rsidR="000E1B5A" w:rsidRPr="009F7D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E1B5A"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приятие </w:t>
      </w:r>
      <w:r w:rsidR="00CE2344"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внешняя проверка бюджетной отчетности главного администратора бюджетных средств Управления капитального строительства Администрации Суксунского городского</w:t>
      </w:r>
      <w:proofErr w:type="gramEnd"/>
      <w:r w:rsidR="00CE2344"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Пермского края (далее – Управление капитальн</w:t>
      </w:r>
      <w:r w:rsidR="00CE2344" w:rsidRPr="009F7D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2344" w:rsidRPr="009F7DCC">
        <w:rPr>
          <w:rFonts w:ascii="Times New Roman" w:eastAsia="Times New Roman" w:hAnsi="Times New Roman"/>
          <w:sz w:val="28"/>
          <w:szCs w:val="28"/>
          <w:lang w:eastAsia="ru-RU"/>
        </w:rPr>
        <w:t>го строительства) за 2023 год.</w:t>
      </w:r>
    </w:p>
    <w:p w:rsidR="009F7DCC" w:rsidRDefault="009F7DCC" w:rsidP="009F7D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E96" w:rsidRPr="009F7DCC" w:rsidRDefault="00B8161C" w:rsidP="009F7DCC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F7DCC">
        <w:rPr>
          <w:rFonts w:ascii="Times New Roman" w:hAnsi="Times New Roman"/>
          <w:b/>
          <w:i/>
          <w:sz w:val="28"/>
          <w:szCs w:val="28"/>
        </w:rPr>
        <w:t>Цел</w:t>
      </w:r>
      <w:r w:rsidR="003E4E33" w:rsidRPr="009F7DCC">
        <w:rPr>
          <w:rFonts w:ascii="Times New Roman" w:hAnsi="Times New Roman"/>
          <w:b/>
          <w:i/>
          <w:sz w:val="28"/>
          <w:szCs w:val="28"/>
        </w:rPr>
        <w:t>ь</w:t>
      </w:r>
      <w:r w:rsidR="009F7DCC">
        <w:rPr>
          <w:rFonts w:ascii="Times New Roman" w:hAnsi="Times New Roman"/>
          <w:b/>
          <w:i/>
          <w:sz w:val="28"/>
          <w:szCs w:val="28"/>
        </w:rPr>
        <w:t xml:space="preserve"> контрольного мероприятия</w:t>
      </w:r>
    </w:p>
    <w:p w:rsidR="009F7DCC" w:rsidRDefault="009F7DCC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B5A" w:rsidRPr="009F7DCC" w:rsidRDefault="000E1B5A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F7D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Установить степень полноты бюджетной отчетности за 2023 год, ее соо</w:t>
      </w:r>
      <w:r w:rsidRPr="009F7D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9F7D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ветствие требованиям статей 264.1, 264.2 Бюджетного кодекса Российской Федер</w:t>
      </w:r>
      <w:r w:rsidRPr="009F7D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9F7D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ции (далее – БК РФ),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</w:t>
      </w:r>
      <w:r w:rsidRPr="009F7D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й</w:t>
      </w:r>
      <w:r w:rsidRPr="009F7D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ской Федерации от 28.12.2010 № 191н «Об утверждении Инструкции о порядке с</w:t>
      </w:r>
      <w:r w:rsidRPr="009F7D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9F7D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ставления и представления годовой, квартальной и месячной</w:t>
      </w:r>
      <w:proofErr w:type="gramEnd"/>
      <w:r w:rsidRPr="009F7D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отчетности об испо</w:t>
      </w:r>
      <w:r w:rsidRPr="009F7D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</w:t>
      </w:r>
      <w:r w:rsidRPr="009F7D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нении бюджетов бюджетной системы Российской Федерации» (далее – Инструкция № 191н), по составу и содержанию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B5A" w:rsidRPr="009F7DCC" w:rsidRDefault="000E1B5A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0E1B5A" w:rsidRPr="009F7DCC" w:rsidRDefault="000E1B5A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2023 год.</w:t>
      </w:r>
    </w:p>
    <w:p w:rsidR="009F7DCC" w:rsidRDefault="009F7DCC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B5A" w:rsidRPr="009F7DCC" w:rsidRDefault="000E1B5A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годовой отчетности об исполнении бюджета Управления капитального строительства проводилась на выборочной основе с применением принципа существенности и включала в себя анализ, сопоставление и оценку г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довой бюджетной отчетности ГАБС, данных Финансового управления Админ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городского округа Пермского края об исполнении бюджета и других материалов.</w:t>
      </w:r>
    </w:p>
    <w:p w:rsidR="00122DE3" w:rsidRPr="009F7DCC" w:rsidRDefault="00122DE3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Pr="009F7DCC" w:rsidRDefault="00283D91" w:rsidP="009F7DCC">
      <w:pPr>
        <w:pStyle w:val="21"/>
        <w:widowControl w:val="0"/>
        <w:spacing w:line="240" w:lineRule="exact"/>
        <w:ind w:firstLine="709"/>
        <w:rPr>
          <w:b/>
          <w:i/>
        </w:rPr>
      </w:pPr>
      <w:r w:rsidRPr="009F7DCC">
        <w:rPr>
          <w:b/>
          <w:i/>
        </w:rPr>
        <w:t>Краткая информация об о</w:t>
      </w:r>
      <w:r w:rsidR="009F7DCC">
        <w:rPr>
          <w:b/>
          <w:i/>
        </w:rPr>
        <w:t>бъекте контрольного мероприятия</w:t>
      </w:r>
    </w:p>
    <w:p w:rsidR="00BC3BD3" w:rsidRPr="009F7DCC" w:rsidRDefault="00BC3BD3" w:rsidP="009F7DCC">
      <w:pPr>
        <w:pStyle w:val="21"/>
        <w:widowControl w:val="0"/>
        <w:ind w:firstLine="709"/>
        <w:rPr>
          <w:b/>
        </w:rPr>
      </w:pP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Управление капитального строительства Администрации Суксунского г</w:t>
      </w:r>
      <w:r w:rsidRPr="009F7DCC">
        <w:rPr>
          <w:rFonts w:ascii="Times New Roman" w:eastAsiaTheme="minorHAnsi" w:hAnsi="Times New Roman"/>
          <w:sz w:val="28"/>
          <w:szCs w:val="28"/>
        </w:rPr>
        <w:t>о</w:t>
      </w:r>
      <w:r w:rsidRPr="009F7DCC">
        <w:rPr>
          <w:rFonts w:ascii="Times New Roman" w:eastAsiaTheme="minorHAnsi" w:hAnsi="Times New Roman"/>
          <w:sz w:val="28"/>
          <w:szCs w:val="28"/>
        </w:rPr>
        <w:lastRenderedPageBreak/>
        <w:t>родского округа Пермского края является отраслевым (функциональным) органом Администрации Суксунского городского округа Пермского края, обеспечива</w:t>
      </w:r>
      <w:r w:rsidRPr="009F7DCC">
        <w:rPr>
          <w:rFonts w:ascii="Times New Roman" w:eastAsiaTheme="minorHAnsi" w:hAnsi="Times New Roman"/>
          <w:sz w:val="28"/>
          <w:szCs w:val="28"/>
        </w:rPr>
        <w:t>ю</w:t>
      </w:r>
      <w:r w:rsidRPr="009F7DCC">
        <w:rPr>
          <w:rFonts w:ascii="Times New Roman" w:eastAsiaTheme="minorHAnsi" w:hAnsi="Times New Roman"/>
          <w:sz w:val="28"/>
          <w:szCs w:val="28"/>
        </w:rPr>
        <w:t>щим проведение на территории Суксунского городского округа единой политики в сфере развития инфраструктуры Суксунского городского округа, капитального строительства, координирующим деятельность в этой сфере органов местного с</w:t>
      </w:r>
      <w:r w:rsidRPr="009F7DCC">
        <w:rPr>
          <w:rFonts w:ascii="Times New Roman" w:eastAsiaTheme="minorHAnsi" w:hAnsi="Times New Roman"/>
          <w:sz w:val="28"/>
          <w:szCs w:val="28"/>
        </w:rPr>
        <w:t>а</w:t>
      </w:r>
      <w:r w:rsidRPr="009F7DCC">
        <w:rPr>
          <w:rFonts w:ascii="Times New Roman" w:eastAsiaTheme="minorHAnsi" w:hAnsi="Times New Roman"/>
          <w:sz w:val="28"/>
          <w:szCs w:val="28"/>
        </w:rPr>
        <w:t>моуправления, муниципальных предприятий и учреждений.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Управление капитального строительства является юридическим лицом, имеет самостоятельный баланс и обособленное имущество, печать установленн</w:t>
      </w:r>
      <w:r w:rsidRPr="009F7DCC">
        <w:rPr>
          <w:rFonts w:ascii="Times New Roman" w:eastAsiaTheme="minorHAnsi" w:hAnsi="Times New Roman"/>
          <w:sz w:val="28"/>
          <w:szCs w:val="28"/>
        </w:rPr>
        <w:t>о</w:t>
      </w:r>
      <w:r w:rsidR="009F7DCC">
        <w:rPr>
          <w:rFonts w:ascii="Times New Roman" w:eastAsiaTheme="minorHAnsi" w:hAnsi="Times New Roman"/>
          <w:sz w:val="28"/>
          <w:szCs w:val="28"/>
        </w:rPr>
        <w:t>го образца, штамп, бланки.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Управление капитального строительства пользуется лицевым счетом, о</w:t>
      </w:r>
      <w:r w:rsidRPr="009F7DCC">
        <w:rPr>
          <w:rFonts w:ascii="Times New Roman" w:eastAsiaTheme="minorHAnsi" w:hAnsi="Times New Roman"/>
          <w:sz w:val="28"/>
          <w:szCs w:val="28"/>
        </w:rPr>
        <w:t>т</w:t>
      </w:r>
      <w:r w:rsidRPr="009F7DCC">
        <w:rPr>
          <w:rFonts w:ascii="Times New Roman" w:eastAsiaTheme="minorHAnsi" w:hAnsi="Times New Roman"/>
          <w:sz w:val="28"/>
          <w:szCs w:val="28"/>
        </w:rPr>
        <w:t>крытым в Финансовом управлении Администрации Суксунского городского округа Пермского края. Касса для выдачи наличных денежных средств в учр</w:t>
      </w:r>
      <w:r w:rsidRPr="009F7DCC">
        <w:rPr>
          <w:rFonts w:ascii="Times New Roman" w:eastAsiaTheme="minorHAnsi" w:hAnsi="Times New Roman"/>
          <w:sz w:val="28"/>
          <w:szCs w:val="28"/>
        </w:rPr>
        <w:t>е</w:t>
      </w:r>
      <w:r w:rsidRPr="009F7DCC">
        <w:rPr>
          <w:rFonts w:ascii="Times New Roman" w:eastAsiaTheme="minorHAnsi" w:hAnsi="Times New Roman"/>
          <w:sz w:val="28"/>
          <w:szCs w:val="28"/>
        </w:rPr>
        <w:t>ждении отсутствует. Все расчеты осуществляются в безналичном порядке.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Финансирование учреждения осуществляется за счет средств местного бюджета, направленных на содержание исполнительных органов Суксунского г</w:t>
      </w:r>
      <w:r w:rsidRPr="009F7DCC">
        <w:rPr>
          <w:rFonts w:ascii="Times New Roman" w:eastAsiaTheme="minorHAnsi" w:hAnsi="Times New Roman"/>
          <w:sz w:val="28"/>
          <w:szCs w:val="28"/>
        </w:rPr>
        <w:t>о</w:t>
      </w:r>
      <w:r w:rsidRPr="009F7DCC">
        <w:rPr>
          <w:rFonts w:ascii="Times New Roman" w:eastAsiaTheme="minorHAnsi" w:hAnsi="Times New Roman"/>
          <w:sz w:val="28"/>
          <w:szCs w:val="28"/>
        </w:rPr>
        <w:t>родского округа, а также получает субсидии и межбюджетные трансферты из бюджета Пермского края.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9F7DCC">
        <w:rPr>
          <w:rFonts w:ascii="Times New Roman" w:eastAsiaTheme="minorHAnsi" w:hAnsi="Times New Roman"/>
          <w:sz w:val="28"/>
          <w:szCs w:val="28"/>
        </w:rPr>
        <w:t>и</w:t>
      </w:r>
      <w:r w:rsidRPr="009F7DCC">
        <w:rPr>
          <w:rFonts w:ascii="Times New Roman" w:eastAsiaTheme="minorHAnsi" w:hAnsi="Times New Roman"/>
          <w:sz w:val="28"/>
          <w:szCs w:val="28"/>
        </w:rPr>
        <w:t>видуальных предпринимателей» Управление зарегистрировано в Едином гос</w:t>
      </w:r>
      <w:r w:rsidRPr="009F7DCC">
        <w:rPr>
          <w:rFonts w:ascii="Times New Roman" w:eastAsiaTheme="minorHAnsi" w:hAnsi="Times New Roman"/>
          <w:sz w:val="28"/>
          <w:szCs w:val="28"/>
        </w:rPr>
        <w:t>у</w:t>
      </w:r>
      <w:r w:rsidRPr="009F7DCC">
        <w:rPr>
          <w:rFonts w:ascii="Times New Roman" w:eastAsiaTheme="minorHAnsi" w:hAnsi="Times New Roman"/>
          <w:sz w:val="28"/>
          <w:szCs w:val="28"/>
        </w:rPr>
        <w:t>дарственном реестре юридических лиц 27.12.2019 за основным государственным регистрационным номером 1195958043060.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ИНН 5917005810, КПП 591701001.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Полное наименование учреждения: Управление капитального строительства Администрации Суксунского городского округа Пермского края.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 xml:space="preserve">Сокращенное наименование учреждения: 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УКС Суксунского городского округа.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УКС Суксунского городского округа осуществляет свою деятельность на основании Положения, утвержденного решением Думы Суксунского городского округа от 19.12.2019 № 69 «Об учреждении Управления капитального строител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ства Администрации Суксунского городского округа Пермского края».</w:t>
      </w:r>
    </w:p>
    <w:p w:rsidR="00AD714D" w:rsidRPr="009F7DCC" w:rsidRDefault="00AD714D" w:rsidP="009F7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F7DCC">
        <w:rPr>
          <w:rFonts w:ascii="Times New Roman" w:eastAsiaTheme="minorHAnsi" w:hAnsi="Times New Roman"/>
          <w:color w:val="000000"/>
          <w:sz w:val="28"/>
          <w:szCs w:val="28"/>
        </w:rPr>
        <w:t>Управление капитального строительства является муниципальным казе</w:t>
      </w:r>
      <w:r w:rsidRPr="009F7DCC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Pr="009F7DCC">
        <w:rPr>
          <w:rFonts w:ascii="Times New Roman" w:eastAsiaTheme="minorHAnsi" w:hAnsi="Times New Roman"/>
          <w:color w:val="000000"/>
          <w:sz w:val="28"/>
          <w:szCs w:val="28"/>
        </w:rPr>
        <w:t>ным учреждением и не имеет подведомственных участников бюджетного проце</w:t>
      </w:r>
      <w:r w:rsidRPr="009F7DCC"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Pr="009F7DCC">
        <w:rPr>
          <w:rFonts w:ascii="Times New Roman" w:eastAsiaTheme="minorHAnsi" w:hAnsi="Times New Roman"/>
          <w:color w:val="000000"/>
          <w:sz w:val="28"/>
          <w:szCs w:val="28"/>
        </w:rPr>
        <w:t>са, учреждений и муниципальных унитарных предприятий.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 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Карла Маркса, 4.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C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Руководителем Управления капитального строительства является начальник 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Управления капитального строительства Администрации Суксунского городского округа Пермского края Петухова Алена Владимировна, назначенная на должность с 12.09.2023 распоряжением Администрации Суксунского городского округа от 11.09.2023 № 18-л «О приеме на муниципальную службу и назначении на дол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ность муниципальной службы Петуховой А.В.».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пунктом 10.1 статьи 161 БК РФ, частью 3 статьи 7 Фед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рального закона от 06.12.2011 № 402-ФЗ «О бухгалтерском учете», </w:t>
      </w:r>
      <w:r w:rsidRPr="009F7DCC">
        <w:rPr>
          <w:rFonts w:ascii="Times New Roman" w:eastAsiaTheme="minorHAnsi" w:hAnsi="Times New Roman"/>
          <w:sz w:val="28"/>
          <w:szCs w:val="28"/>
        </w:rPr>
        <w:t>УКС Суксу</w:t>
      </w:r>
      <w:r w:rsidRPr="009F7DCC">
        <w:rPr>
          <w:rFonts w:ascii="Times New Roman" w:eastAsiaTheme="minorHAnsi" w:hAnsi="Times New Roman"/>
          <w:sz w:val="28"/>
          <w:szCs w:val="28"/>
        </w:rPr>
        <w:t>н</w:t>
      </w:r>
      <w:r w:rsidRPr="009F7DCC">
        <w:rPr>
          <w:rFonts w:ascii="Times New Roman" w:eastAsiaTheme="minorHAnsi" w:hAnsi="Times New Roman"/>
          <w:sz w:val="28"/>
          <w:szCs w:val="28"/>
        </w:rPr>
        <w:lastRenderedPageBreak/>
        <w:t>ского городского округа заключено Соглашение об оказании услуг по ведению бюджетного, налогового, статистического учета, планирования бюджетной сметы, составления отчетности от 13.01.2020 № 7 с Муниципальным казенным учрежд</w:t>
      </w:r>
      <w:r w:rsidRPr="009F7DCC">
        <w:rPr>
          <w:rFonts w:ascii="Times New Roman" w:eastAsiaTheme="minorHAnsi" w:hAnsi="Times New Roman"/>
          <w:sz w:val="28"/>
          <w:szCs w:val="28"/>
        </w:rPr>
        <w:t>е</w:t>
      </w:r>
      <w:r w:rsidRPr="009F7DCC">
        <w:rPr>
          <w:rFonts w:ascii="Times New Roman" w:eastAsiaTheme="minorHAnsi" w:hAnsi="Times New Roman"/>
          <w:sz w:val="28"/>
          <w:szCs w:val="28"/>
        </w:rPr>
        <w:t>нием «Централизованная бухгалтерия Суксунского городского округа Пермского края» (</w:t>
      </w:r>
      <w:r w:rsidR="009F7DCC">
        <w:rPr>
          <w:rFonts w:ascii="Times New Roman" w:eastAsiaTheme="minorHAnsi" w:hAnsi="Times New Roman"/>
          <w:sz w:val="28"/>
          <w:szCs w:val="28"/>
        </w:rPr>
        <w:t>д</w:t>
      </w:r>
      <w:r w:rsidRPr="009F7DCC">
        <w:rPr>
          <w:rFonts w:ascii="Times New Roman" w:eastAsiaTheme="minorHAnsi" w:hAnsi="Times New Roman"/>
          <w:sz w:val="28"/>
          <w:szCs w:val="28"/>
        </w:rPr>
        <w:t>алее – МКУ «ЦБ Суксунского городского округа»).</w:t>
      </w:r>
      <w:proofErr w:type="gramEnd"/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Бюджетный учет ведется в учреждении в соответствии с Законом о бухга</w:t>
      </w:r>
      <w:r w:rsidRPr="009F7DCC">
        <w:rPr>
          <w:rFonts w:ascii="Times New Roman" w:eastAsiaTheme="minorHAnsi" w:hAnsi="Times New Roman"/>
          <w:sz w:val="28"/>
          <w:szCs w:val="28"/>
        </w:rPr>
        <w:t>л</w:t>
      </w:r>
      <w:r w:rsidRPr="009F7DCC">
        <w:rPr>
          <w:rFonts w:ascii="Times New Roman" w:eastAsiaTheme="minorHAnsi" w:hAnsi="Times New Roman"/>
          <w:sz w:val="28"/>
          <w:szCs w:val="28"/>
        </w:rPr>
        <w:t>терском учете от 06.12.2011 № 402-ФЗ, Положением по Единой учетной полит</w:t>
      </w:r>
      <w:r w:rsidRPr="009F7DCC">
        <w:rPr>
          <w:rFonts w:ascii="Times New Roman" w:eastAsiaTheme="minorHAnsi" w:hAnsi="Times New Roman"/>
          <w:sz w:val="28"/>
          <w:szCs w:val="28"/>
        </w:rPr>
        <w:t>и</w:t>
      </w:r>
      <w:r w:rsidRPr="009F7DCC">
        <w:rPr>
          <w:rFonts w:ascii="Times New Roman" w:eastAsiaTheme="minorHAnsi" w:hAnsi="Times New Roman"/>
          <w:sz w:val="28"/>
          <w:szCs w:val="28"/>
        </w:rPr>
        <w:t>ке, утвержденного приказом МКУ «ЦБ Суксунского городского округа» от 30.12.2020 № 195, федеральными стандартами и иными нормативными актами.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F7DCC">
        <w:rPr>
          <w:rFonts w:ascii="Times New Roman" w:hAnsi="Times New Roman"/>
          <w:sz w:val="28"/>
          <w:szCs w:val="28"/>
        </w:rPr>
        <w:t xml:space="preserve">Обязанности главного бухгалтера по ведению бюджетного учета возложены на Щелконогову Наталью Юрьевну приказом 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«ЦБ Суксунского городского округа» от 29.04.2021 № 21. </w:t>
      </w:r>
      <w:proofErr w:type="gramStart"/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МКУ «ЦБ Суксунского горо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ского округа» от 02.10.2023 № 84 «О временном приеме на работу Пономаревой Т.И.», а также приказа МКУ «ЦБ Суксунского городского округа» от 02.10.2023 № 56 «О внесении изменений в приказ МКУ «ЦБ Суксунского городского окр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га» от 21.10.2020 № 139 «О назначении ответственных лиц с правом второй по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писи в платежных и бухгалтерских документах» в период с 02.10.2023</w:t>
      </w:r>
      <w:proofErr w:type="gramEnd"/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настоящее время обязанности главного бухгалтера возложены на Пономареву Т.И.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DCC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9F7DCC">
        <w:rPr>
          <w:rFonts w:ascii="Times New Roman" w:hAnsi="Times New Roman"/>
          <w:sz w:val="28"/>
          <w:szCs w:val="28"/>
        </w:rPr>
        <w:t>д</w:t>
      </w:r>
      <w:r w:rsidRPr="009F7DCC">
        <w:rPr>
          <w:rFonts w:ascii="Times New Roman" w:hAnsi="Times New Roman"/>
          <w:sz w:val="28"/>
          <w:szCs w:val="28"/>
        </w:rPr>
        <w:t>писи бюджетной отчетности Управления капитального строительства за 2022 год имеют: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DCC">
        <w:rPr>
          <w:rFonts w:ascii="Times New Roman" w:hAnsi="Times New Roman"/>
          <w:iCs/>
          <w:sz w:val="28"/>
          <w:szCs w:val="28"/>
        </w:rPr>
        <w:t xml:space="preserve">начальник </w:t>
      </w:r>
      <w:r w:rsidRPr="009F7DCC">
        <w:rPr>
          <w:rFonts w:ascii="Times New Roman" w:hAnsi="Times New Roman"/>
          <w:sz w:val="28"/>
          <w:szCs w:val="28"/>
        </w:rPr>
        <w:t>Управления капитального строительства Администрации Су</w:t>
      </w:r>
      <w:r w:rsidRPr="009F7DCC">
        <w:rPr>
          <w:rFonts w:ascii="Times New Roman" w:hAnsi="Times New Roman"/>
          <w:sz w:val="28"/>
          <w:szCs w:val="28"/>
        </w:rPr>
        <w:t>к</w:t>
      </w:r>
      <w:r w:rsidRPr="009F7DCC">
        <w:rPr>
          <w:rFonts w:ascii="Times New Roman" w:hAnsi="Times New Roman"/>
          <w:sz w:val="28"/>
          <w:szCs w:val="28"/>
        </w:rPr>
        <w:t>сунского городского округа Пермского края Петухова Алена Владимировна;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DCC">
        <w:rPr>
          <w:rFonts w:ascii="Times New Roman" w:hAnsi="Times New Roman"/>
          <w:sz w:val="28"/>
          <w:szCs w:val="28"/>
        </w:rPr>
        <w:t>руководитель МКУ «ЦБ Суксунского городского округа» Никитина Лю</w:t>
      </w:r>
      <w:r w:rsidRPr="009F7DCC">
        <w:rPr>
          <w:rFonts w:ascii="Times New Roman" w:hAnsi="Times New Roman"/>
          <w:sz w:val="28"/>
          <w:szCs w:val="28"/>
        </w:rPr>
        <w:t>д</w:t>
      </w:r>
      <w:r w:rsidRPr="009F7DCC">
        <w:rPr>
          <w:rFonts w:ascii="Times New Roman" w:hAnsi="Times New Roman"/>
          <w:sz w:val="28"/>
          <w:szCs w:val="28"/>
        </w:rPr>
        <w:t>мила Ивановна;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DCC">
        <w:rPr>
          <w:rFonts w:ascii="Times New Roman" w:hAnsi="Times New Roman"/>
          <w:sz w:val="28"/>
          <w:szCs w:val="28"/>
        </w:rPr>
        <w:t>ведущий бухгалтер МКУ «ЦБ Суксунского городского округа» Пономарева Тамара Ивановна.</w:t>
      </w:r>
    </w:p>
    <w:p w:rsidR="00233452" w:rsidRPr="009F7DCC" w:rsidRDefault="00233452" w:rsidP="009F7D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9F7DCC" w:rsidRDefault="0034496C" w:rsidP="009F7DC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7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9F7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9F7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9F7DCC" w:rsidRDefault="00C3263D" w:rsidP="009F7DCC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714D" w:rsidRPr="009F7DCC" w:rsidRDefault="00AD714D" w:rsidP="009F7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9F7DCC">
        <w:rPr>
          <w:rFonts w:ascii="Times New Roman" w:eastAsiaTheme="minorHAnsi" w:hAnsi="Times New Roman"/>
          <w:color w:val="000000"/>
          <w:sz w:val="28"/>
          <w:szCs w:val="28"/>
        </w:rPr>
        <w:t>На основании постановления Администрации Суксунского городского округа Пермского края от 10.11.2021 № 701 «</w:t>
      </w:r>
      <w:r w:rsidRPr="009F7DCC">
        <w:rPr>
          <w:rFonts w:ascii="Times New Roman" w:eastAsiaTheme="minorHAnsi" w:hAnsi="Times New Roman"/>
          <w:bCs/>
          <w:color w:val="000000"/>
          <w:sz w:val="28"/>
          <w:szCs w:val="28"/>
        </w:rPr>
        <w:t>Об утверждении перечня главных администраторов доходов бюджета Суксунского городского округа, перечня главных администраторов источников финансирования дефицита бюджета Су</w:t>
      </w:r>
      <w:r w:rsidRPr="009F7DCC">
        <w:rPr>
          <w:rFonts w:ascii="Times New Roman" w:eastAsiaTheme="minorHAnsi" w:hAnsi="Times New Roman"/>
          <w:bCs/>
          <w:color w:val="000000"/>
          <w:sz w:val="28"/>
          <w:szCs w:val="28"/>
        </w:rPr>
        <w:t>к</w:t>
      </w:r>
      <w:r w:rsidRPr="009F7DC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сунского городского округа» (далее – постановление </w:t>
      </w:r>
      <w:r w:rsidRPr="009F7DCC">
        <w:rPr>
          <w:rFonts w:ascii="Times New Roman" w:eastAsiaTheme="minorHAnsi" w:hAnsi="Times New Roman"/>
          <w:color w:val="000000"/>
          <w:sz w:val="28"/>
          <w:szCs w:val="28"/>
        </w:rPr>
        <w:t>Администрации Суксунск</w:t>
      </w:r>
      <w:r w:rsidRPr="009F7DCC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9F7DCC">
        <w:rPr>
          <w:rFonts w:ascii="Times New Roman" w:eastAsiaTheme="minorHAnsi" w:hAnsi="Times New Roman"/>
          <w:color w:val="000000"/>
          <w:sz w:val="28"/>
          <w:szCs w:val="28"/>
        </w:rPr>
        <w:t>го городского округа от 10.11.2021 № 701)</w:t>
      </w:r>
      <w:r w:rsidRPr="009F7DC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Pr="009F7DCC">
        <w:rPr>
          <w:rFonts w:ascii="Times New Roman" w:eastAsiaTheme="minorHAnsi" w:hAnsi="Times New Roman"/>
          <w:color w:val="000000"/>
          <w:sz w:val="28"/>
          <w:szCs w:val="28"/>
        </w:rPr>
        <w:t>Управление капитального строител</w:t>
      </w:r>
      <w:r w:rsidRPr="009F7DCC">
        <w:rPr>
          <w:rFonts w:ascii="Times New Roman" w:eastAsiaTheme="minorHAnsi" w:hAnsi="Times New Roman"/>
          <w:color w:val="000000"/>
          <w:sz w:val="28"/>
          <w:szCs w:val="28"/>
        </w:rPr>
        <w:t>ь</w:t>
      </w:r>
      <w:r w:rsidRPr="009F7DCC">
        <w:rPr>
          <w:rFonts w:ascii="Times New Roman" w:eastAsiaTheme="minorHAnsi" w:hAnsi="Times New Roman"/>
          <w:color w:val="000000"/>
          <w:sz w:val="28"/>
          <w:szCs w:val="28"/>
        </w:rPr>
        <w:t>ства</w:t>
      </w:r>
      <w:r w:rsidRPr="009F7DC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является главным администратором доходов бюджета Суксунского горо</w:t>
      </w:r>
      <w:r w:rsidRPr="009F7DCC">
        <w:rPr>
          <w:rFonts w:ascii="Times New Roman" w:eastAsiaTheme="minorHAnsi" w:hAnsi="Times New Roman"/>
          <w:bCs/>
          <w:color w:val="000000"/>
          <w:sz w:val="28"/>
          <w:szCs w:val="28"/>
        </w:rPr>
        <w:t>д</w:t>
      </w:r>
      <w:r w:rsidRPr="009F7DCC">
        <w:rPr>
          <w:rFonts w:ascii="Times New Roman" w:eastAsiaTheme="minorHAnsi" w:hAnsi="Times New Roman"/>
          <w:bCs/>
          <w:color w:val="000000"/>
          <w:sz w:val="28"/>
          <w:szCs w:val="28"/>
        </w:rPr>
        <w:t>ского округа.</w:t>
      </w:r>
      <w:proofErr w:type="gramEnd"/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в</w:t>
      </w:r>
      <w:r w:rsidRPr="009F7DCC">
        <w:rPr>
          <w:rFonts w:ascii="Times New Roman" w:eastAsiaTheme="minorHAnsi" w:hAnsi="Times New Roman"/>
          <w:sz w:val="28"/>
          <w:szCs w:val="28"/>
        </w:rPr>
        <w:t xml:space="preserve"> соответствии с решением Думы Суксунского городского округа от 08.12.2022 № 305 «О бюджете Суксунского г</w:t>
      </w:r>
      <w:r w:rsidRPr="009F7DCC">
        <w:rPr>
          <w:rFonts w:ascii="Times New Roman" w:eastAsiaTheme="minorHAnsi" w:hAnsi="Times New Roman"/>
          <w:sz w:val="28"/>
          <w:szCs w:val="28"/>
        </w:rPr>
        <w:t>о</w:t>
      </w:r>
      <w:r w:rsidRPr="009F7DCC">
        <w:rPr>
          <w:rFonts w:ascii="Times New Roman" w:eastAsiaTheme="minorHAnsi" w:hAnsi="Times New Roman"/>
          <w:sz w:val="28"/>
          <w:szCs w:val="28"/>
        </w:rPr>
        <w:t xml:space="preserve">родского округа на 2023 год и на плановый период 2024 и 2025 годов» (далее – Решение о бюджете) 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осуществляет бюджетные полномочия главного распоряд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теля бюджетных средств, главного администратора доходов бюджета.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пунктом 10 Инструкции № 191н бюджетная отчетность Управления капитального строительства за 2023 год сформирована единым ко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плектом по совокупности выполняемых Управлением капитального строител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ства полномочий.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Годовая бюджетная отчетность Управления капитального строительства за 2023 год представлена в составе, предусмотренном подпунктом 11.1 пункта 11 Инструкции № 191н: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справка по консолидируемым расчетам (ф. 0503125);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отчет об исполнении бюджета главного распорядителя, распорядителя, п</w:t>
      </w:r>
      <w:r w:rsidRPr="009F7DCC">
        <w:rPr>
          <w:rFonts w:ascii="Times New Roman" w:eastAsiaTheme="minorHAnsi" w:hAnsi="Times New Roman"/>
          <w:sz w:val="28"/>
          <w:szCs w:val="28"/>
        </w:rPr>
        <w:t>о</w:t>
      </w:r>
      <w:r w:rsidRPr="009F7DCC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9F7DCC">
        <w:rPr>
          <w:rFonts w:ascii="Times New Roman" w:eastAsiaTheme="minorHAnsi" w:hAnsi="Times New Roman"/>
          <w:sz w:val="28"/>
          <w:szCs w:val="28"/>
        </w:rPr>
        <w:t>и</w:t>
      </w:r>
      <w:r w:rsidRPr="009F7DCC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отчет о бюджетных обязательствах (ф. 0503128);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отчет о финансовых результатах деятельности (ф. 0503121);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отчет о движении денежных средств (ф. 0503123);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пояснительная записка в составе: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сведений об исполнении текстовых статей закона (решения) о бюджете (Таблица № 3);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сведений о принятых и неисполненных обязательствах получателя бюдже</w:t>
      </w:r>
      <w:r w:rsidRPr="009F7DCC">
        <w:rPr>
          <w:rFonts w:ascii="Times New Roman" w:eastAsiaTheme="minorHAnsi" w:hAnsi="Times New Roman"/>
          <w:sz w:val="28"/>
          <w:szCs w:val="28"/>
        </w:rPr>
        <w:t>т</w:t>
      </w:r>
      <w:r w:rsidRPr="009F7DCC">
        <w:rPr>
          <w:rFonts w:ascii="Times New Roman" w:eastAsiaTheme="minorHAnsi" w:hAnsi="Times New Roman"/>
          <w:sz w:val="28"/>
          <w:szCs w:val="28"/>
        </w:rPr>
        <w:t xml:space="preserve">ных средств </w:t>
      </w:r>
      <w:hyperlink r:id="rId9" w:history="1">
        <w:r w:rsidRPr="009F7DCC">
          <w:rPr>
            <w:rFonts w:ascii="Times New Roman" w:eastAsiaTheme="minorHAnsi" w:hAnsi="Times New Roman"/>
            <w:sz w:val="28"/>
            <w:szCs w:val="28"/>
          </w:rPr>
          <w:t>(ф. 0503175)</w:t>
        </w:r>
      </w:hyperlink>
      <w:r w:rsidRPr="009F7DCC">
        <w:rPr>
          <w:rFonts w:ascii="Times New Roman" w:eastAsiaTheme="minorHAnsi" w:hAnsi="Times New Roman"/>
          <w:sz w:val="28"/>
          <w:szCs w:val="28"/>
        </w:rPr>
        <w:t>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Theme="minorHAnsi" w:hAnsi="Times New Roman"/>
          <w:sz w:val="28"/>
          <w:szCs w:val="28"/>
        </w:rPr>
        <w:t>сведений об остатках денежных средств на счетах получателя бюджетных средств (ф. 0503178) по средствам во временном распоряжении;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F7DCC">
        <w:rPr>
          <w:rFonts w:ascii="Times New Roman" w:eastAsia="Times New Roman" w:hAnsi="Times New Roman"/>
          <w:iCs/>
          <w:sz w:val="28"/>
          <w:szCs w:val="28"/>
          <w:lang w:eastAsia="ru-RU"/>
        </w:rPr>
        <w:t>сведения о вложениях в объекты недвижимого имущества, объектах нез</w:t>
      </w:r>
      <w:r w:rsidRPr="009F7DCC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9F7DCC">
        <w:rPr>
          <w:rFonts w:ascii="Times New Roman" w:eastAsia="Times New Roman" w:hAnsi="Times New Roman"/>
          <w:iCs/>
          <w:sz w:val="28"/>
          <w:szCs w:val="28"/>
          <w:lang w:eastAsia="ru-RU"/>
        </w:rPr>
        <w:t>вершенного строительства (ф. 0503190).</w:t>
      </w:r>
    </w:p>
    <w:p w:rsidR="004B6BBA" w:rsidRPr="009F7DCC" w:rsidRDefault="004B6BBA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D714D" w:rsidRPr="009F7DCC" w:rsidRDefault="00AD714D" w:rsidP="009F7DC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F7DC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2. Доходы бюджета Суксунского городского округа, администрируемые </w:t>
      </w:r>
      <w:r w:rsidRPr="009F7DCC">
        <w:rPr>
          <w:rFonts w:ascii="Times New Roman" w:eastAsiaTheme="minorHAnsi" w:hAnsi="Times New Roman"/>
          <w:b/>
          <w:color w:val="000000"/>
          <w:sz w:val="28"/>
          <w:szCs w:val="28"/>
        </w:rPr>
        <w:t>Управлением капитального строительства Администрации Суксунского г</w:t>
      </w:r>
      <w:r w:rsidRPr="009F7DCC">
        <w:rPr>
          <w:rFonts w:ascii="Times New Roman" w:eastAsiaTheme="minorHAnsi" w:hAnsi="Times New Roman"/>
          <w:b/>
          <w:color w:val="000000"/>
          <w:sz w:val="28"/>
          <w:szCs w:val="28"/>
        </w:rPr>
        <w:t>о</w:t>
      </w:r>
      <w:r w:rsidRPr="009F7DCC">
        <w:rPr>
          <w:rFonts w:ascii="Times New Roman" w:eastAsiaTheme="minorHAnsi" w:hAnsi="Times New Roman"/>
          <w:b/>
          <w:color w:val="000000"/>
          <w:sz w:val="28"/>
          <w:szCs w:val="28"/>
        </w:rPr>
        <w:t>родского округа Пермского края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AD714D" w:rsidRPr="009F7DCC" w:rsidRDefault="00AD714D" w:rsidP="009F7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в</w:t>
      </w:r>
      <w:r w:rsidRPr="009F7DCC">
        <w:rPr>
          <w:rFonts w:ascii="Times New Roman" w:eastAsiaTheme="minorHAnsi" w:hAnsi="Times New Roman"/>
          <w:sz w:val="28"/>
          <w:szCs w:val="28"/>
        </w:rPr>
        <w:t xml:space="preserve"> соответствии с Решением о бю</w:t>
      </w:r>
      <w:r w:rsidRPr="009F7DCC">
        <w:rPr>
          <w:rFonts w:ascii="Times New Roman" w:eastAsiaTheme="minorHAnsi" w:hAnsi="Times New Roman"/>
          <w:sz w:val="28"/>
          <w:szCs w:val="28"/>
        </w:rPr>
        <w:t>д</w:t>
      </w:r>
      <w:r w:rsidRPr="009F7DCC">
        <w:rPr>
          <w:rFonts w:ascii="Times New Roman" w:eastAsiaTheme="minorHAnsi" w:hAnsi="Times New Roman"/>
          <w:sz w:val="28"/>
          <w:szCs w:val="28"/>
        </w:rPr>
        <w:t xml:space="preserve">жете 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наделено полномочиями главного администратора доходов бюджета </w:t>
      </w:r>
      <w:r w:rsidRPr="009F7DCC">
        <w:rPr>
          <w:rFonts w:ascii="Times New Roman" w:eastAsiaTheme="minorHAnsi" w:hAnsi="Times New Roman"/>
          <w:sz w:val="28"/>
          <w:szCs w:val="28"/>
        </w:rPr>
        <w:t>Су</w:t>
      </w:r>
      <w:r w:rsidRPr="009F7DCC">
        <w:rPr>
          <w:rFonts w:ascii="Times New Roman" w:eastAsiaTheme="minorHAnsi" w:hAnsi="Times New Roman"/>
          <w:sz w:val="28"/>
          <w:szCs w:val="28"/>
        </w:rPr>
        <w:t>к</w:t>
      </w:r>
      <w:r w:rsidRPr="009F7DCC">
        <w:rPr>
          <w:rFonts w:ascii="Times New Roman" w:eastAsiaTheme="minorHAnsi" w:hAnsi="Times New Roman"/>
          <w:sz w:val="28"/>
          <w:szCs w:val="28"/>
        </w:rPr>
        <w:t xml:space="preserve">сунского городского округа </w:t>
      </w:r>
      <w:r w:rsidRP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(код администратора 630) </w:t>
      </w:r>
      <w:r w:rsidRPr="009F7DCC">
        <w:rPr>
          <w:rFonts w:ascii="Times New Roman" w:eastAsiaTheme="minorHAnsi" w:hAnsi="Times New Roman"/>
          <w:sz w:val="28"/>
          <w:szCs w:val="28"/>
        </w:rPr>
        <w:t>в части следующих дох</w:t>
      </w:r>
      <w:r w:rsidRPr="009F7DCC">
        <w:rPr>
          <w:rFonts w:ascii="Times New Roman" w:eastAsiaTheme="minorHAnsi" w:hAnsi="Times New Roman"/>
          <w:sz w:val="28"/>
          <w:szCs w:val="28"/>
        </w:rPr>
        <w:t>о</w:t>
      </w:r>
      <w:r w:rsidRPr="009F7DCC">
        <w:rPr>
          <w:rFonts w:ascii="Times New Roman" w:eastAsiaTheme="minorHAnsi" w:hAnsi="Times New Roman"/>
          <w:sz w:val="28"/>
          <w:szCs w:val="28"/>
        </w:rPr>
        <w:lastRenderedPageBreak/>
        <w:t>дов,</w:t>
      </w:r>
      <w:r w:rsidRPr="009F7DCC">
        <w:rPr>
          <w:rFonts w:ascii="Times New Roman" w:hAnsi="Times New Roman"/>
          <w:sz w:val="28"/>
          <w:szCs w:val="28"/>
        </w:rPr>
        <w:t xml:space="preserve"> представленных в таблице № 1.</w:t>
      </w:r>
    </w:p>
    <w:p w:rsidR="00AD714D" w:rsidRPr="009F7DCC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14D" w:rsidRPr="009F7DCC" w:rsidRDefault="00AD714D" w:rsidP="00AD714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DCC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857"/>
        <w:gridCol w:w="7066"/>
      </w:tblGrid>
      <w:tr w:rsidR="00AD714D" w:rsidRPr="00AD714D" w:rsidTr="00AD714D">
        <w:trPr>
          <w:trHeight w:val="522"/>
          <w:tblHeader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</w:tr>
      <w:tr w:rsidR="00AD714D" w:rsidRPr="00AD714D" w:rsidTr="00AD714D">
        <w:trPr>
          <w:trHeight w:val="228"/>
          <w:tblHeader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2</w:t>
            </w:r>
          </w:p>
        </w:tc>
      </w:tr>
      <w:tr w:rsidR="00AD714D" w:rsidRPr="00AD714D" w:rsidTr="00AD714D">
        <w:trPr>
          <w:trHeight w:val="37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1 13 02 994 04 0000 130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9F7DC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AD714D" w:rsidRPr="00AD714D" w:rsidTr="00AD714D">
        <w:trPr>
          <w:trHeight w:val="6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1 16 07 010 04 0000 140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4D" w:rsidRPr="00AD714D" w:rsidRDefault="00AD714D" w:rsidP="009F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поставщиком (подрядчиком, исполнителем) обяз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тельств, предусмотренных муниципальным контрактом, закл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ченным муниципальным органом, казенным учреждением горо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</w:t>
            </w:r>
            <w:proofErr w:type="gramEnd"/>
          </w:p>
        </w:tc>
      </w:tr>
      <w:tr w:rsidR="00AD714D" w:rsidRPr="00AD714D" w:rsidTr="00AD714D">
        <w:trPr>
          <w:trHeight w:val="6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1 16 11 064 01 0000 140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4D" w:rsidRPr="00AD714D" w:rsidRDefault="00AD714D" w:rsidP="009F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ствами, осуществляющими перевозки тяжеловесных и (или) крупногабаритных грузов</w:t>
            </w:r>
          </w:p>
        </w:tc>
      </w:tr>
      <w:tr w:rsidR="00AD714D" w:rsidRPr="00AD714D" w:rsidTr="00AD714D">
        <w:trPr>
          <w:trHeight w:val="6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1 17 01 040 04 0000 180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9F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AD714D" w:rsidRPr="00AD714D" w:rsidTr="00AD714D">
        <w:trPr>
          <w:trHeight w:val="65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1 17 16 000 04 0000 180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4D" w:rsidRPr="00AD714D" w:rsidRDefault="00AD714D" w:rsidP="009F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AD714D" w:rsidRPr="00AD714D" w:rsidTr="00AD714D">
        <w:trPr>
          <w:trHeight w:val="65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2 02 20 077 04 0000 150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4D" w:rsidRPr="00AD714D" w:rsidRDefault="00AD714D" w:rsidP="009F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питальных вложений в объекты муниципальной собственности</w:t>
            </w:r>
          </w:p>
        </w:tc>
      </w:tr>
      <w:tr w:rsidR="00AD714D" w:rsidRPr="00AD714D" w:rsidTr="00AD714D">
        <w:trPr>
          <w:trHeight w:val="41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2 02 20 216 04 0000 150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4D" w:rsidRPr="00AD714D" w:rsidRDefault="00AD714D" w:rsidP="009F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осуществление д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ториям многоквартирных домов населенных пунктов</w:t>
            </w:r>
          </w:p>
        </w:tc>
      </w:tr>
      <w:tr w:rsidR="00AD714D" w:rsidRPr="00AD714D" w:rsidTr="00AD714D">
        <w:trPr>
          <w:trHeight w:val="58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2 02 27 112 04 0000 150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9F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питальных вложений в объекты муниципальной собственности</w:t>
            </w:r>
          </w:p>
        </w:tc>
      </w:tr>
      <w:tr w:rsidR="00AD714D" w:rsidRPr="00AD714D" w:rsidTr="00AD714D">
        <w:trPr>
          <w:trHeight w:val="41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2 02 29 999 04 0000 150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9F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AD714D" w:rsidRPr="00AD714D" w:rsidTr="00AD714D">
        <w:trPr>
          <w:trHeight w:val="68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2 02 30 024 04 0000 150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9F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ваемых полномочий субъектов Российской Федерации</w:t>
            </w:r>
          </w:p>
        </w:tc>
      </w:tr>
      <w:tr w:rsidR="00AD714D" w:rsidRPr="00AD714D" w:rsidTr="00AD714D">
        <w:trPr>
          <w:trHeight w:val="41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2 02 39 999 04 0000 150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9F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AD714D" w:rsidRPr="00AD714D" w:rsidTr="00AD714D">
        <w:trPr>
          <w:trHeight w:val="6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2 02 49 999 04 0000 150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9F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</w:tr>
      <w:tr w:rsidR="00AD714D" w:rsidRPr="00AD714D" w:rsidTr="00AD714D">
        <w:trPr>
          <w:trHeight w:val="37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2 07 04 050 04 0000 150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4D" w:rsidRPr="00AD714D" w:rsidRDefault="00AD714D" w:rsidP="009F7DCC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AD714D" w:rsidRPr="00AD714D" w:rsidTr="00AD714D">
        <w:trPr>
          <w:trHeight w:val="892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2 19 27 112 04 0000 150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4D" w:rsidRPr="00AD714D" w:rsidRDefault="00AD714D" w:rsidP="009F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AD714D" w:rsidRPr="00AD714D" w:rsidTr="00AD714D">
        <w:trPr>
          <w:trHeight w:val="83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2 19 60 010 04 0000 150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4D" w:rsidRPr="00AD714D" w:rsidRDefault="00AD714D" w:rsidP="009F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трансфертов, имеющих целевое назначение, прошлых лет из бюджетов городских округов</w:t>
            </w:r>
          </w:p>
        </w:tc>
      </w:tr>
    </w:tbl>
    <w:p w:rsidR="00AD714D" w:rsidRPr="00AD714D" w:rsidRDefault="00AD714D" w:rsidP="00AD7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о бюджете за Управлением капитального стро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закреплены доходы бюджета на 2023 год в сумме 190 453 353,16 руб.,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 подтверждается Бюджетной росписью доходов Суксунского городского окр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га на 2023 год и плановый период 2043 и 2025 годов.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министратора, администратора доходов бюджета (ф. 0503127) (далее – Отчет об исполнении бюджета (ф. 0503127)) фактическое исполнение по доходам за 2023 год составило 180 757 935,52 руб., или 94,9% от утвержденных бюджетных назн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чений.</w:t>
      </w:r>
      <w:proofErr w:type="gramEnd"/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 xml:space="preserve">Анализ исполнения доходов бюджета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Управлением капитального стро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bookmarkStart w:id="0" w:name="_GoBack"/>
      <w:bookmarkEnd w:id="0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r w:rsidRPr="00AD714D">
        <w:rPr>
          <w:rFonts w:ascii="Times New Roman" w:hAnsi="Times New Roman"/>
          <w:sz w:val="28"/>
          <w:szCs w:val="28"/>
        </w:rPr>
        <w:t xml:space="preserve"> представлен в таблице № 2.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14D" w:rsidRPr="009F7DCC" w:rsidRDefault="00AD714D" w:rsidP="00AD714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DCC">
        <w:rPr>
          <w:rFonts w:ascii="Times New Roman" w:hAnsi="Times New Roman"/>
          <w:sz w:val="28"/>
          <w:szCs w:val="28"/>
        </w:rPr>
        <w:t>Таблица № 2</w:t>
      </w:r>
    </w:p>
    <w:tbl>
      <w:tblPr>
        <w:tblStyle w:val="af8"/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6"/>
        <w:gridCol w:w="1845"/>
        <w:gridCol w:w="1844"/>
        <w:gridCol w:w="1701"/>
        <w:gridCol w:w="990"/>
      </w:tblGrid>
      <w:tr w:rsidR="00AD714D" w:rsidRPr="00AD714D" w:rsidTr="00AD714D">
        <w:trPr>
          <w:trHeight w:val="899"/>
          <w:tblHeader/>
        </w:trPr>
        <w:tc>
          <w:tcPr>
            <w:tcW w:w="215" w:type="pct"/>
          </w:tcPr>
          <w:p w:rsidR="00AD714D" w:rsidRPr="00AD714D" w:rsidRDefault="00AD714D" w:rsidP="00AD714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0" w:type="pct"/>
          </w:tcPr>
          <w:p w:rsidR="00AD714D" w:rsidRPr="00AD714D" w:rsidRDefault="00AD714D" w:rsidP="00AD714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930" w:type="pct"/>
          </w:tcPr>
          <w:p w:rsidR="00AD714D" w:rsidRPr="00AD714D" w:rsidRDefault="00AD714D" w:rsidP="00AD714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бюдже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назнач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ния, руб.</w:t>
            </w:r>
          </w:p>
        </w:tc>
        <w:tc>
          <w:tcPr>
            <w:tcW w:w="929" w:type="pct"/>
          </w:tcPr>
          <w:p w:rsidR="00AD714D" w:rsidRPr="00AD714D" w:rsidRDefault="00AD714D" w:rsidP="00AD714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857" w:type="pct"/>
          </w:tcPr>
          <w:p w:rsidR="00AD714D" w:rsidRPr="00AD714D" w:rsidRDefault="00AD714D" w:rsidP="00AD714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Неисполне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бюдже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назн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чения, руб.</w:t>
            </w:r>
          </w:p>
        </w:tc>
        <w:tc>
          <w:tcPr>
            <w:tcW w:w="499" w:type="pct"/>
          </w:tcPr>
          <w:p w:rsidR="00AD714D" w:rsidRPr="00AD714D" w:rsidRDefault="00AD714D" w:rsidP="00AD714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 и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</w:t>
            </w:r>
          </w:p>
        </w:tc>
      </w:tr>
      <w:tr w:rsidR="00AD714D" w:rsidRPr="00AD714D" w:rsidTr="00AD714D">
        <w:trPr>
          <w:trHeight w:val="165"/>
          <w:tblHeader/>
        </w:trPr>
        <w:tc>
          <w:tcPr>
            <w:tcW w:w="215" w:type="pct"/>
          </w:tcPr>
          <w:p w:rsidR="00AD714D" w:rsidRPr="00AD714D" w:rsidRDefault="00AD714D" w:rsidP="00AD714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pct"/>
          </w:tcPr>
          <w:p w:rsidR="00AD714D" w:rsidRPr="00AD714D" w:rsidRDefault="00AD714D" w:rsidP="00AD714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pct"/>
          </w:tcPr>
          <w:p w:rsidR="00AD714D" w:rsidRPr="00AD714D" w:rsidRDefault="00AD714D" w:rsidP="00AD714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pct"/>
          </w:tcPr>
          <w:p w:rsidR="00AD714D" w:rsidRPr="00AD714D" w:rsidRDefault="00AD714D" w:rsidP="00AD714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pct"/>
          </w:tcPr>
          <w:p w:rsidR="00AD714D" w:rsidRPr="00AD714D" w:rsidRDefault="00AD714D" w:rsidP="00AD714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pct"/>
          </w:tcPr>
          <w:p w:rsidR="00AD714D" w:rsidRPr="00AD714D" w:rsidRDefault="00AD714D" w:rsidP="00AD714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D714D" w:rsidRPr="00AD714D" w:rsidTr="00AD714D">
        <w:tc>
          <w:tcPr>
            <w:tcW w:w="215" w:type="pct"/>
          </w:tcPr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0" w:type="pct"/>
          </w:tcPr>
          <w:p w:rsidR="00AD714D" w:rsidRPr="00AD714D" w:rsidRDefault="00AD714D" w:rsidP="009F7D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срочки исполнения п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ставщиком (подрядчиком, исполнителем) обяз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тельств, предусмотренных муниципальным контра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заключенным муниц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органом, казе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учреждением горо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</w:t>
            </w:r>
            <w:proofErr w:type="gramEnd"/>
          </w:p>
        </w:tc>
        <w:tc>
          <w:tcPr>
            <w:tcW w:w="930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929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3 430,92</w:t>
            </w:r>
          </w:p>
        </w:tc>
        <w:tc>
          <w:tcPr>
            <w:tcW w:w="857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714D" w:rsidRPr="00AD714D" w:rsidTr="00AD714D">
        <w:tc>
          <w:tcPr>
            <w:tcW w:w="215" w:type="pct"/>
          </w:tcPr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0" w:type="pct"/>
          </w:tcPr>
          <w:p w:rsidR="00AD714D" w:rsidRPr="00AD714D" w:rsidRDefault="00AD714D" w:rsidP="009F7D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дорогам местного зн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транспортными сре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ствами, осуществляющими перевозки тяжеловесных и (или) крупногабаритных грузов</w:t>
            </w:r>
          </w:p>
        </w:tc>
        <w:tc>
          <w:tcPr>
            <w:tcW w:w="930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10 241,41</w:t>
            </w:r>
          </w:p>
        </w:tc>
        <w:tc>
          <w:tcPr>
            <w:tcW w:w="857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714D" w:rsidRPr="00AD714D" w:rsidTr="00AD714D">
        <w:tc>
          <w:tcPr>
            <w:tcW w:w="215" w:type="pct"/>
          </w:tcPr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0" w:type="pct"/>
          </w:tcPr>
          <w:p w:rsidR="00AD714D" w:rsidRPr="00AD714D" w:rsidRDefault="00AD714D" w:rsidP="009F7D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 на софина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сирование капитальных вложений в объекты мун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собственности</w:t>
            </w:r>
          </w:p>
        </w:tc>
        <w:tc>
          <w:tcPr>
            <w:tcW w:w="930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57 679 112,23</w:t>
            </w:r>
          </w:p>
        </w:tc>
        <w:tc>
          <w:tcPr>
            <w:tcW w:w="929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57 412 057,91</w:t>
            </w:r>
          </w:p>
        </w:tc>
        <w:tc>
          <w:tcPr>
            <w:tcW w:w="857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267 054,32</w:t>
            </w:r>
          </w:p>
        </w:tc>
        <w:tc>
          <w:tcPr>
            <w:tcW w:w="499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D714D" w:rsidRPr="00AD714D" w:rsidTr="00AD714D">
        <w:tc>
          <w:tcPr>
            <w:tcW w:w="215" w:type="pct"/>
          </w:tcPr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0" w:type="pct"/>
          </w:tcPr>
          <w:p w:rsidR="00AD714D" w:rsidRPr="00AD714D" w:rsidRDefault="00AD714D" w:rsidP="009F7D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городских округов</w:t>
            </w:r>
          </w:p>
        </w:tc>
        <w:tc>
          <w:tcPr>
            <w:tcW w:w="930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54 613 512,18</w:t>
            </w:r>
          </w:p>
        </w:tc>
        <w:tc>
          <w:tcPr>
            <w:tcW w:w="929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52 045 478,51</w:t>
            </w:r>
          </w:p>
        </w:tc>
        <w:tc>
          <w:tcPr>
            <w:tcW w:w="857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2 568 033,67</w:t>
            </w:r>
          </w:p>
        </w:tc>
        <w:tc>
          <w:tcPr>
            <w:tcW w:w="499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AD714D" w:rsidRPr="00AD714D" w:rsidTr="00AD714D">
        <w:tc>
          <w:tcPr>
            <w:tcW w:w="215" w:type="pct"/>
          </w:tcPr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0" w:type="pct"/>
          </w:tcPr>
          <w:p w:rsidR="00AD714D" w:rsidRPr="00AD714D" w:rsidRDefault="00AD714D" w:rsidP="009F7DCC">
            <w:pP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30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285 151,90</w:t>
            </w:r>
          </w:p>
        </w:tc>
        <w:tc>
          <w:tcPr>
            <w:tcW w:w="929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285 151,90</w:t>
            </w:r>
          </w:p>
        </w:tc>
        <w:tc>
          <w:tcPr>
            <w:tcW w:w="857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714D" w:rsidRPr="00AD714D" w:rsidTr="00AD714D">
        <w:tc>
          <w:tcPr>
            <w:tcW w:w="215" w:type="pct"/>
          </w:tcPr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0" w:type="pct"/>
          </w:tcPr>
          <w:p w:rsidR="00AD714D" w:rsidRPr="00AD714D" w:rsidRDefault="00AD714D" w:rsidP="009F7D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иных межбюджетных трансфертов, имеющих ц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левое назначение, прошлых лет из бюджетов городских округов</w:t>
            </w:r>
          </w:p>
        </w:tc>
        <w:tc>
          <w:tcPr>
            <w:tcW w:w="930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29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-5 815,86</w:t>
            </w:r>
          </w:p>
        </w:tc>
        <w:tc>
          <w:tcPr>
            <w:tcW w:w="857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714D" w:rsidRPr="00AD714D" w:rsidTr="00AD714D">
        <w:tc>
          <w:tcPr>
            <w:tcW w:w="215" w:type="pct"/>
          </w:tcPr>
          <w:p w:rsidR="00AD714D" w:rsidRPr="00AD714D" w:rsidRDefault="00AD714D" w:rsidP="00AD71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AD714D" w:rsidRPr="00AD714D" w:rsidRDefault="00AD714D" w:rsidP="00AD714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112 581 176,31</w:t>
            </w:r>
          </w:p>
        </w:tc>
        <w:tc>
          <w:tcPr>
            <w:tcW w:w="929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109 750 544,79</w:t>
            </w:r>
          </w:p>
        </w:tc>
        <w:tc>
          <w:tcPr>
            <w:tcW w:w="857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2 830 631,52</w:t>
            </w:r>
          </w:p>
        </w:tc>
        <w:tc>
          <w:tcPr>
            <w:tcW w:w="499" w:type="pct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97,5</w:t>
            </w:r>
          </w:p>
        </w:tc>
      </w:tr>
    </w:tbl>
    <w:p w:rsidR="009F7DCC" w:rsidRDefault="009F7DCC" w:rsidP="009F7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14D" w:rsidRPr="00AD714D" w:rsidRDefault="00AD714D" w:rsidP="009F7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Неисполнение по доход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ам составило 2 830 631,52 руб.,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из них:</w:t>
      </w:r>
    </w:p>
    <w:p w:rsidR="00AD714D" w:rsidRPr="00AD714D" w:rsidRDefault="00AD714D" w:rsidP="00AD7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267 054,32 руб. – недофинансирование субсидии бюджетам городских окр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гов на софинансирование капитальных вложений в объекты муниципальной со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ственности;</w:t>
      </w:r>
    </w:p>
    <w:p w:rsidR="00AD714D" w:rsidRPr="00AD714D" w:rsidRDefault="00AD714D" w:rsidP="00AD7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2 568 033,67 руб. 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недофинансирование по прочей субсидии бюджетам г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родских округов.</w:t>
      </w:r>
    </w:p>
    <w:p w:rsidR="00AD714D" w:rsidRPr="00AD714D" w:rsidRDefault="00AD714D" w:rsidP="009F7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714D" w:rsidRPr="00AD714D" w:rsidRDefault="00AD714D" w:rsidP="00AD714D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Расходы бюджета Суксунского городского округа по Управлению капитального строительства Администрации Суксунского городского округа Пермского края</w:t>
      </w:r>
    </w:p>
    <w:p w:rsidR="00AD714D" w:rsidRPr="00AD714D" w:rsidRDefault="00AD714D" w:rsidP="00AD7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D714D" w:rsidRDefault="00AD714D" w:rsidP="00AD7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в 2023 году в соответствии с Р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шением о</w:t>
      </w:r>
      <w:r w:rsidRPr="00AD714D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являлось главным распорядителем бюджетных средств по следующим разделам классификации расходов бюджета, представленных в та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лице № 3.</w:t>
      </w:r>
    </w:p>
    <w:p w:rsidR="009F7DCC" w:rsidRPr="00AD714D" w:rsidRDefault="009F7DCC" w:rsidP="00AD7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14D" w:rsidRPr="009F7DCC" w:rsidRDefault="00AD714D" w:rsidP="00AD714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DCC">
        <w:rPr>
          <w:rFonts w:ascii="Times New Roman" w:hAnsi="Times New Roman"/>
          <w:sz w:val="28"/>
          <w:szCs w:val="28"/>
        </w:rPr>
        <w:t>Таблица № 3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693"/>
      </w:tblGrid>
      <w:tr w:rsidR="00AD714D" w:rsidRPr="00AD714D" w:rsidTr="00AD714D">
        <w:tc>
          <w:tcPr>
            <w:tcW w:w="709" w:type="dxa"/>
          </w:tcPr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</w:tcPr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AD714D" w:rsidRPr="00AD714D" w:rsidTr="00AD714D">
        <w:tc>
          <w:tcPr>
            <w:tcW w:w="709" w:type="dxa"/>
          </w:tcPr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714D" w:rsidRPr="00AD714D" w:rsidTr="00AD714D">
        <w:trPr>
          <w:trHeight w:val="240"/>
        </w:trPr>
        <w:tc>
          <w:tcPr>
            <w:tcW w:w="709" w:type="dxa"/>
          </w:tcPr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AD714D" w:rsidRPr="00AD714D" w:rsidRDefault="00AD714D" w:rsidP="00AD71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76 868,41</w:t>
            </w:r>
          </w:p>
        </w:tc>
      </w:tr>
      <w:tr w:rsidR="00AD714D" w:rsidRPr="00AD714D" w:rsidTr="00AD714D">
        <w:tc>
          <w:tcPr>
            <w:tcW w:w="709" w:type="dxa"/>
          </w:tcPr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AD714D" w:rsidRPr="00AD714D" w:rsidRDefault="00AD714D" w:rsidP="00AD71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shd w:val="clear" w:color="auto" w:fill="auto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10 487,04</w:t>
            </w:r>
          </w:p>
        </w:tc>
      </w:tr>
      <w:tr w:rsidR="00AD714D" w:rsidRPr="00AD714D" w:rsidTr="00AD714D">
        <w:tc>
          <w:tcPr>
            <w:tcW w:w="709" w:type="dxa"/>
          </w:tcPr>
          <w:p w:rsidR="00AD714D" w:rsidRPr="00AD714D" w:rsidRDefault="00AD714D" w:rsidP="00AD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AD714D" w:rsidRPr="00AD714D" w:rsidRDefault="00AD714D" w:rsidP="00AD71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AD714D" w:rsidRPr="00AD714D" w:rsidRDefault="00AD714D" w:rsidP="00AD714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87 355,45</w:t>
            </w:r>
          </w:p>
        </w:tc>
      </w:tr>
    </w:tbl>
    <w:p w:rsidR="00AD714D" w:rsidRPr="00AD714D" w:rsidRDefault="00AD714D" w:rsidP="00AD7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D714D" w:rsidRPr="00AD714D" w:rsidRDefault="00AD714D" w:rsidP="00AD7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(ф. 0503127) фактическое исполнение по расходам за 2023 год составило 180 757 932,52 руб.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>Анализ исполнения расходов бюджета представлен в таблице № 4.</w:t>
      </w:r>
    </w:p>
    <w:p w:rsidR="00AD714D" w:rsidRPr="009F7DCC" w:rsidRDefault="00AD714D" w:rsidP="00AD714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714D" w:rsidRPr="009F7DCC" w:rsidRDefault="00AD714D" w:rsidP="00AD714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DCC">
        <w:rPr>
          <w:rFonts w:ascii="Times New Roman" w:hAnsi="Times New Roman"/>
          <w:sz w:val="28"/>
          <w:szCs w:val="28"/>
        </w:rPr>
        <w:t>Таблица № 4</w:t>
      </w:r>
    </w:p>
    <w:tbl>
      <w:tblPr>
        <w:tblW w:w="992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1702"/>
        <w:gridCol w:w="1843"/>
      </w:tblGrid>
      <w:tr w:rsidR="00AD714D" w:rsidRPr="00AD714D" w:rsidTr="00AD714D">
        <w:trPr>
          <w:trHeight w:val="1503"/>
          <w:tblHeader/>
          <w:tblCellSpacing w:w="0" w:type="dxa"/>
        </w:trPr>
        <w:tc>
          <w:tcPr>
            <w:tcW w:w="2835" w:type="dxa"/>
            <w:hideMark/>
          </w:tcPr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843" w:type="dxa"/>
            <w:hideMark/>
          </w:tcPr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Утвержденные</w:t>
            </w:r>
          </w:p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</w:t>
            </w:r>
          </w:p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назначения,</w:t>
            </w:r>
          </w:p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hideMark/>
          </w:tcPr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</w:t>
            </w:r>
          </w:p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2" w:type="dxa"/>
            <w:hideMark/>
          </w:tcPr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Отклонения</w:t>
            </w:r>
          </w:p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утвержде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бюдже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назнач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ний, руб.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расходов, %</w:t>
            </w:r>
          </w:p>
          <w:p w:rsidR="00AD714D" w:rsidRPr="00AD714D" w:rsidRDefault="00AD714D" w:rsidP="00AD714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14D" w:rsidRPr="00AD714D" w:rsidTr="00AD714D">
        <w:trPr>
          <w:tblHeader/>
          <w:tblCellSpacing w:w="0" w:type="dxa"/>
        </w:trPr>
        <w:tc>
          <w:tcPr>
            <w:tcW w:w="2835" w:type="dxa"/>
            <w:vAlign w:val="bottom"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D714D" w:rsidRPr="00AD714D" w:rsidTr="00AD714D">
        <w:trPr>
          <w:tblCellSpacing w:w="0" w:type="dxa"/>
        </w:trPr>
        <w:tc>
          <w:tcPr>
            <w:tcW w:w="2835" w:type="dxa"/>
            <w:vAlign w:val="bottom"/>
          </w:tcPr>
          <w:p w:rsidR="00AD714D" w:rsidRPr="00AD714D" w:rsidRDefault="00AD714D" w:rsidP="00AD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просы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2 692 657,22</w:t>
            </w:r>
          </w:p>
        </w:tc>
        <w:tc>
          <w:tcPr>
            <w:tcW w:w="1701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1 965 639,00</w:t>
            </w:r>
          </w:p>
        </w:tc>
        <w:tc>
          <w:tcPr>
            <w:tcW w:w="1702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727 018,22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73,0</w:t>
            </w:r>
          </w:p>
        </w:tc>
      </w:tr>
      <w:tr w:rsidR="00AD714D" w:rsidRPr="00AD714D" w:rsidTr="00AD714D">
        <w:trPr>
          <w:trHeight w:val="339"/>
          <w:tblCellSpacing w:w="0" w:type="dxa"/>
        </w:trPr>
        <w:tc>
          <w:tcPr>
            <w:tcW w:w="2835" w:type="dxa"/>
            <w:vAlign w:val="bottom"/>
          </w:tcPr>
          <w:p w:rsidR="00AD714D" w:rsidRPr="00AD714D" w:rsidRDefault="00AD714D" w:rsidP="00AD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Общеэкономические в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4 908 282,62</w:t>
            </w:r>
          </w:p>
        </w:tc>
        <w:tc>
          <w:tcPr>
            <w:tcW w:w="1701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4 789 944,31</w:t>
            </w:r>
          </w:p>
        </w:tc>
        <w:tc>
          <w:tcPr>
            <w:tcW w:w="1702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118 338,31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D714D" w:rsidRPr="00AD714D" w:rsidTr="00AD714D">
        <w:trPr>
          <w:trHeight w:val="339"/>
          <w:tblCellSpacing w:w="0" w:type="dxa"/>
        </w:trPr>
        <w:tc>
          <w:tcPr>
            <w:tcW w:w="2835" w:type="dxa"/>
            <w:vAlign w:val="bottom"/>
          </w:tcPr>
          <w:p w:rsidR="00AD714D" w:rsidRPr="00AD714D" w:rsidRDefault="00AD714D" w:rsidP="00AD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918 996,04</w:t>
            </w:r>
          </w:p>
        </w:tc>
        <w:tc>
          <w:tcPr>
            <w:tcW w:w="1701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318 993,52</w:t>
            </w:r>
          </w:p>
        </w:tc>
        <w:tc>
          <w:tcPr>
            <w:tcW w:w="1702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600 002,52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34,71</w:t>
            </w:r>
          </w:p>
        </w:tc>
      </w:tr>
      <w:tr w:rsidR="00AD714D" w:rsidRPr="00AD714D" w:rsidTr="00AD714D">
        <w:trPr>
          <w:trHeight w:val="339"/>
          <w:tblCellSpacing w:w="0" w:type="dxa"/>
        </w:trPr>
        <w:tc>
          <w:tcPr>
            <w:tcW w:w="2835" w:type="dxa"/>
            <w:vAlign w:val="bottom"/>
          </w:tcPr>
          <w:p w:rsidR="00AD714D" w:rsidRPr="00AD714D" w:rsidRDefault="00AD714D" w:rsidP="00AD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112 260 502,10</w:t>
            </w:r>
          </w:p>
        </w:tc>
        <w:tc>
          <w:tcPr>
            <w:tcW w:w="1701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108 723 552,02</w:t>
            </w:r>
          </w:p>
        </w:tc>
        <w:tc>
          <w:tcPr>
            <w:tcW w:w="1702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3 536 950,08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AD714D" w:rsidRPr="00AD714D" w:rsidTr="00AD714D">
        <w:trPr>
          <w:tblCellSpacing w:w="0" w:type="dxa"/>
        </w:trPr>
        <w:tc>
          <w:tcPr>
            <w:tcW w:w="2835" w:type="dxa"/>
            <w:vAlign w:val="bottom"/>
            <w:hideMark/>
          </w:tcPr>
          <w:p w:rsidR="00AD714D" w:rsidRPr="00AD714D" w:rsidRDefault="00AD714D" w:rsidP="00AD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3 186 963,50</w:t>
            </w:r>
          </w:p>
        </w:tc>
        <w:tc>
          <w:tcPr>
            <w:tcW w:w="1701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1 320 008,32</w:t>
            </w:r>
          </w:p>
        </w:tc>
        <w:tc>
          <w:tcPr>
            <w:tcW w:w="1702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1 866 955,18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AD714D" w:rsidRPr="00AD714D" w:rsidTr="00AD714D">
        <w:trPr>
          <w:tblCellSpacing w:w="0" w:type="dxa"/>
        </w:trPr>
        <w:tc>
          <w:tcPr>
            <w:tcW w:w="2835" w:type="dxa"/>
            <w:vAlign w:val="bottom"/>
            <w:hideMark/>
          </w:tcPr>
          <w:p w:rsidR="00AD714D" w:rsidRPr="00AD714D" w:rsidRDefault="00AD714D" w:rsidP="00AD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66 200 799,78</w:t>
            </w:r>
          </w:p>
        </w:tc>
        <w:tc>
          <w:tcPr>
            <w:tcW w:w="1701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63 354 643,54</w:t>
            </w:r>
          </w:p>
        </w:tc>
        <w:tc>
          <w:tcPr>
            <w:tcW w:w="1702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2 846 156,24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AD714D" w:rsidRPr="00AD714D" w:rsidTr="00AD714D">
        <w:trPr>
          <w:trHeight w:val="272"/>
          <w:tblCellSpacing w:w="0" w:type="dxa"/>
        </w:trPr>
        <w:tc>
          <w:tcPr>
            <w:tcW w:w="2835" w:type="dxa"/>
            <w:vAlign w:val="bottom"/>
          </w:tcPr>
          <w:p w:rsidR="00AD714D" w:rsidRPr="00AD714D" w:rsidRDefault="00AD714D" w:rsidP="00AD71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285 151,90</w:t>
            </w:r>
          </w:p>
        </w:tc>
        <w:tc>
          <w:tcPr>
            <w:tcW w:w="1701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285 151,90</w:t>
            </w:r>
          </w:p>
        </w:tc>
        <w:tc>
          <w:tcPr>
            <w:tcW w:w="1702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714D" w:rsidRPr="00AD714D" w:rsidTr="00AD714D">
        <w:trPr>
          <w:trHeight w:val="272"/>
          <w:tblCellSpacing w:w="0" w:type="dxa"/>
        </w:trPr>
        <w:tc>
          <w:tcPr>
            <w:tcW w:w="2835" w:type="dxa"/>
            <w:vAlign w:val="bottom"/>
            <w:hideMark/>
          </w:tcPr>
          <w:p w:rsidR="00AD714D" w:rsidRPr="00AD714D" w:rsidRDefault="00AD714D" w:rsidP="00AD71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190 453  353,16</w:t>
            </w:r>
          </w:p>
        </w:tc>
        <w:tc>
          <w:tcPr>
            <w:tcW w:w="1701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180 757 932,52</w:t>
            </w:r>
          </w:p>
        </w:tc>
        <w:tc>
          <w:tcPr>
            <w:tcW w:w="1702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9 695 420,64</w:t>
            </w:r>
          </w:p>
        </w:tc>
        <w:tc>
          <w:tcPr>
            <w:tcW w:w="1843" w:type="dxa"/>
          </w:tcPr>
          <w:p w:rsidR="00AD714D" w:rsidRPr="00AD714D" w:rsidRDefault="00AD714D" w:rsidP="00AD7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94,9</w:t>
            </w:r>
          </w:p>
        </w:tc>
      </w:tr>
    </w:tbl>
    <w:p w:rsidR="00AD714D" w:rsidRPr="00AD714D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D714D" w:rsidRPr="00AD714D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Выполнение расходной части составляет 94,9% утвержденных бюджетных назначений на 2023 год.</w:t>
      </w:r>
    </w:p>
    <w:p w:rsidR="00AD714D" w:rsidRPr="00AD714D" w:rsidRDefault="00AD714D" w:rsidP="009F7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Неисполнение по расходам составило 9 695 420,64 руб.</w:t>
      </w:r>
    </w:p>
    <w:p w:rsidR="00AD714D" w:rsidRPr="00AD714D" w:rsidRDefault="00AD714D" w:rsidP="009F7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Наиболее низкий процент выполнения 34,71% по разделу «Водное хозя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ство». Это связано с более медленными, чем планировалось, темпами реализации проектов.</w:t>
      </w:r>
    </w:p>
    <w:p w:rsidR="00AD714D" w:rsidRPr="00AD714D" w:rsidRDefault="00AD714D" w:rsidP="009F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714D" w:rsidRPr="00AD714D" w:rsidRDefault="00AD714D" w:rsidP="00AD714D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Анализ степени полноты бюджетной отчетности главного распоряд</w:t>
      </w:r>
      <w:r w:rsidRPr="00AD71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AD71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теля бюджетных средств, ее соответствие требованиям нормативных прав</w:t>
      </w:r>
      <w:r w:rsidRPr="00AD71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AD71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вых актов по составу и содержанию. Проверка внутренней согласованности форм бюджетной отчетности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D714D">
        <w:rPr>
          <w:rFonts w:ascii="Times New Roman" w:eastAsiaTheme="minorHAnsi" w:hAnsi="Times New Roman"/>
          <w:sz w:val="28"/>
          <w:szCs w:val="28"/>
        </w:rPr>
        <w:t>Годовая бюджетная отчетность за 2023 год составлена в соответствии с тр</w:t>
      </w:r>
      <w:r w:rsidRPr="00AD714D">
        <w:rPr>
          <w:rFonts w:ascii="Times New Roman" w:eastAsiaTheme="minorHAnsi" w:hAnsi="Times New Roman"/>
          <w:sz w:val="28"/>
          <w:szCs w:val="28"/>
        </w:rPr>
        <w:t>е</w:t>
      </w:r>
      <w:r w:rsidRPr="00AD714D">
        <w:rPr>
          <w:rFonts w:ascii="Times New Roman" w:eastAsiaTheme="minorHAnsi" w:hAnsi="Times New Roman"/>
          <w:sz w:val="28"/>
          <w:szCs w:val="28"/>
        </w:rPr>
        <w:t>бованиями Инструкции № 191н в сроки, установленные приказом Финансового управления Администрации Суксунского городского округа Пермского края от 06.12.2023 № 73 «</w:t>
      </w:r>
      <w:proofErr w:type="gramStart"/>
      <w:r w:rsidRPr="00AD714D">
        <w:rPr>
          <w:rFonts w:ascii="Times New Roman" w:eastAsiaTheme="minorHAnsi" w:hAnsi="Times New Roman"/>
          <w:sz w:val="28"/>
          <w:szCs w:val="28"/>
        </w:rPr>
        <w:t>Об</w:t>
      </w:r>
      <w:proofErr w:type="gramEnd"/>
      <w:r w:rsidRPr="00AD714D">
        <w:rPr>
          <w:rFonts w:ascii="Times New Roman" w:eastAsiaTheme="minorHAnsi" w:hAnsi="Times New Roman"/>
          <w:sz w:val="28"/>
          <w:szCs w:val="28"/>
        </w:rPr>
        <w:t xml:space="preserve"> становлении сроков представления в Финансовое управл</w:t>
      </w:r>
      <w:r w:rsidRPr="00AD714D">
        <w:rPr>
          <w:rFonts w:ascii="Times New Roman" w:eastAsiaTheme="minorHAnsi" w:hAnsi="Times New Roman"/>
          <w:sz w:val="28"/>
          <w:szCs w:val="28"/>
        </w:rPr>
        <w:t>е</w:t>
      </w:r>
      <w:r w:rsidRPr="00AD714D">
        <w:rPr>
          <w:rFonts w:ascii="Times New Roman" w:eastAsiaTheme="minorHAnsi" w:hAnsi="Times New Roman"/>
          <w:sz w:val="28"/>
          <w:szCs w:val="28"/>
        </w:rPr>
        <w:t>ние Суксунского городского округа Пермского края ГРБС годовой бюджетной отчетности об исполнении бюджета Суксунского городского округа Пермского края и бухгалтерской  отчетности бюджетных и автономных учреждений за 2023 год».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D714D">
        <w:rPr>
          <w:rFonts w:ascii="Times New Roman" w:eastAsiaTheme="minorHAnsi" w:hAnsi="Times New Roman"/>
          <w:sz w:val="28"/>
          <w:szCs w:val="28"/>
        </w:rPr>
        <w:t>Управлению капитального строительства установлена дата представления и сдачи отчета – 19.01.2023.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D714D">
        <w:rPr>
          <w:rFonts w:ascii="Times New Roman" w:eastAsiaTheme="minorHAnsi" w:hAnsi="Times New Roman"/>
          <w:sz w:val="28"/>
          <w:szCs w:val="28"/>
        </w:rPr>
        <w:t>Сроки предоставления отчетности соблюдены.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D714D">
        <w:rPr>
          <w:rFonts w:ascii="Times New Roman" w:eastAsiaTheme="minorHAnsi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AD714D">
        <w:rPr>
          <w:rFonts w:ascii="Times New Roman" w:eastAsiaTheme="minorHAnsi" w:hAnsi="Times New Roman"/>
          <w:sz w:val="28"/>
          <w:szCs w:val="28"/>
        </w:rPr>
        <w:t>т</w:t>
      </w:r>
      <w:r w:rsidRPr="00AD714D">
        <w:rPr>
          <w:rFonts w:ascii="Times New Roman" w:eastAsiaTheme="minorHAnsi" w:hAnsi="Times New Roman"/>
          <w:sz w:val="28"/>
          <w:szCs w:val="28"/>
        </w:rPr>
        <w:t>ная отчетность подписана: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iCs/>
          <w:sz w:val="28"/>
          <w:szCs w:val="28"/>
        </w:rPr>
        <w:t xml:space="preserve">начальником </w:t>
      </w:r>
      <w:r w:rsidRPr="00AD714D">
        <w:rPr>
          <w:rFonts w:ascii="Times New Roman" w:hAnsi="Times New Roman"/>
          <w:sz w:val="28"/>
          <w:szCs w:val="28"/>
        </w:rPr>
        <w:t>Управления капитального строительства Администрации Су</w:t>
      </w:r>
      <w:r w:rsidRPr="00AD714D">
        <w:rPr>
          <w:rFonts w:ascii="Times New Roman" w:hAnsi="Times New Roman"/>
          <w:sz w:val="28"/>
          <w:szCs w:val="28"/>
        </w:rPr>
        <w:t>к</w:t>
      </w:r>
      <w:r w:rsidRPr="00AD714D">
        <w:rPr>
          <w:rFonts w:ascii="Times New Roman" w:hAnsi="Times New Roman"/>
          <w:sz w:val="28"/>
          <w:szCs w:val="28"/>
        </w:rPr>
        <w:t>сунского городского округа Пермского края Петуховой Аленой Владимировной;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>ведущим бухгалтером МКУ «ЦБ Суксунского городского округа» Поном</w:t>
      </w:r>
      <w:r w:rsidRPr="00AD714D">
        <w:rPr>
          <w:rFonts w:ascii="Times New Roman" w:hAnsi="Times New Roman"/>
          <w:sz w:val="28"/>
          <w:szCs w:val="28"/>
        </w:rPr>
        <w:t>а</w:t>
      </w:r>
      <w:r w:rsidRPr="00AD714D">
        <w:rPr>
          <w:rFonts w:ascii="Times New Roman" w:hAnsi="Times New Roman"/>
          <w:sz w:val="28"/>
          <w:szCs w:val="28"/>
        </w:rPr>
        <w:t>ревой Тамарой Ивановной, на которую возложены обязанности главного бухга</w:t>
      </w:r>
      <w:r w:rsidRPr="00AD714D">
        <w:rPr>
          <w:rFonts w:ascii="Times New Roman" w:hAnsi="Times New Roman"/>
          <w:sz w:val="28"/>
          <w:szCs w:val="28"/>
        </w:rPr>
        <w:t>л</w:t>
      </w:r>
      <w:r w:rsidRPr="00AD714D">
        <w:rPr>
          <w:rFonts w:ascii="Times New Roman" w:hAnsi="Times New Roman"/>
          <w:sz w:val="28"/>
          <w:szCs w:val="28"/>
        </w:rPr>
        <w:t>тера по ведению бюджетного учета Управления капитального строительства А</w:t>
      </w:r>
      <w:r w:rsidRPr="00AD714D">
        <w:rPr>
          <w:rFonts w:ascii="Times New Roman" w:hAnsi="Times New Roman"/>
          <w:sz w:val="28"/>
          <w:szCs w:val="28"/>
        </w:rPr>
        <w:t>д</w:t>
      </w:r>
      <w:r w:rsidRPr="00AD714D">
        <w:rPr>
          <w:rFonts w:ascii="Times New Roman" w:hAnsi="Times New Roman"/>
          <w:sz w:val="28"/>
          <w:szCs w:val="28"/>
        </w:rPr>
        <w:lastRenderedPageBreak/>
        <w:t>министрации Суксунского городского округа Пермского края.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AD714D">
        <w:rPr>
          <w:rFonts w:ascii="Times New Roman" w:eastAsiaTheme="minorHAnsi" w:hAnsi="Times New Roman"/>
          <w:sz w:val="28"/>
          <w:szCs w:val="28"/>
        </w:rPr>
        <w:t xml:space="preserve"> Инструкции № 191н б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Управления капитального строительства показала, что данные Баланса главного распорядителя, распорядителя, получателя бюджетных средств, главного администратора, администратора источников ф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нансирования дефицита бюджета, главного администратора, администратора д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ходов бюджета (ф. 0503130) (далее – Баланс (ф. 0503130)) на начало и конец 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четного периода о стоимости активов и обязательств, финансовом результате полностью соответствуют счетам учета Главной книги.</w:t>
      </w:r>
      <w:proofErr w:type="gramEnd"/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Баланса (ф. 0503130) подтверждаются данными, отраженными в Сведениях о движении нефинансовых активов (ф. 0503168).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Баланса (ф. 0503130) подтверждаются да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ными, отраженными в Сведениях о дебиторской и кредиторской задолженности (вид задолженности – дебиторская задолженность) (ф. 0503169).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Баланса (ф. 0503130) подтверждаются данными, отраженными в Сведениях о дебиторской и кредиторской задолженности (вид з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долженности – кредиторская задолженность) (ф. 0503169).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Баланса (ф. 0503130) подтверждается данными Справки по заключению счетов бюджетного учета отчетного финанс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вого года (ф. 0503110).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 0503121) по состоянию на 01 января 2024 года подтверждаются данными Справки по закл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 503110).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При анализе Отчета о финансовых результатах деятельности (ф. 0503121) нарушений не обнаружено.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D714D">
        <w:rPr>
          <w:rFonts w:ascii="Times New Roman" w:hAnsi="Times New Roman"/>
          <w:spacing w:val="-2"/>
          <w:sz w:val="28"/>
          <w:szCs w:val="28"/>
        </w:rPr>
        <w:t>Отчет об исполнении бюджета (ф. 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AD714D">
        <w:rPr>
          <w:rFonts w:ascii="Times New Roman" w:hAnsi="Times New Roman"/>
          <w:sz w:val="28"/>
          <w:szCs w:val="28"/>
        </w:rPr>
        <w:t>об исполнении бюджета (ф. 0503127)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109 750 544,79 руб.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2023 год.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2023 год отражены в сумме 190 453 353,16 руб. Исполнение бюджета главного распорядителя в целом по расходам в 2023 году составило 180 757 932,52 руб., или 94,9% утвержденных бюджетных назначений.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2023 год с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ставило 9 695 420,64 руб.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AD714D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ствуют данным Справки по заключению счетов бюджетного учета отчетного ф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анализе показателей </w:t>
      </w:r>
      <w:r w:rsidRPr="00AD714D">
        <w:rPr>
          <w:rFonts w:ascii="Times New Roman" w:hAnsi="Times New Roman"/>
          <w:sz w:val="28"/>
          <w:szCs w:val="28"/>
        </w:rPr>
        <w:t>Отчета об исполнении бюджета (ф. 0503127) в</w:t>
      </w:r>
      <w:r w:rsidRPr="00AD714D">
        <w:rPr>
          <w:rFonts w:ascii="Times New Roman" w:hAnsi="Times New Roman"/>
          <w:sz w:val="28"/>
          <w:szCs w:val="28"/>
        </w:rPr>
        <w:t>ы</w:t>
      </w:r>
      <w:r w:rsidRPr="00AD714D">
        <w:rPr>
          <w:rFonts w:ascii="Times New Roman" w:hAnsi="Times New Roman"/>
          <w:sz w:val="28"/>
          <w:szCs w:val="28"/>
        </w:rPr>
        <w:t>явлен расход бюджетных средств на оплату пени, взыскание неустойки, возмещ</w:t>
      </w:r>
      <w:r w:rsidRPr="00AD714D">
        <w:rPr>
          <w:rFonts w:ascii="Times New Roman" w:hAnsi="Times New Roman"/>
          <w:sz w:val="28"/>
          <w:szCs w:val="28"/>
        </w:rPr>
        <w:t>е</w:t>
      </w:r>
      <w:r w:rsidRPr="00AD714D">
        <w:rPr>
          <w:rFonts w:ascii="Times New Roman" w:hAnsi="Times New Roman"/>
          <w:sz w:val="28"/>
          <w:szCs w:val="28"/>
        </w:rPr>
        <w:t>ние расходов по оплате госпошлины по исполнительному листу № А50-16149/2022 от 18.11</w:t>
      </w:r>
      <w:r w:rsidR="009F7DCC">
        <w:rPr>
          <w:rFonts w:ascii="Times New Roman" w:hAnsi="Times New Roman"/>
          <w:sz w:val="28"/>
          <w:szCs w:val="28"/>
        </w:rPr>
        <w:t>.2022 ООО «</w:t>
      </w:r>
      <w:proofErr w:type="spellStart"/>
      <w:r w:rsidR="009F7DCC">
        <w:rPr>
          <w:rFonts w:ascii="Times New Roman" w:hAnsi="Times New Roman"/>
          <w:sz w:val="28"/>
          <w:szCs w:val="28"/>
        </w:rPr>
        <w:t>Снабкомплект</w:t>
      </w:r>
      <w:proofErr w:type="spellEnd"/>
      <w:r w:rsidR="009F7DCC">
        <w:rPr>
          <w:rFonts w:ascii="Times New Roman" w:hAnsi="Times New Roman"/>
          <w:sz w:val="28"/>
          <w:szCs w:val="28"/>
        </w:rPr>
        <w:t>-Строй»</w:t>
      </w:r>
      <w:r w:rsidRPr="00AD714D">
        <w:rPr>
          <w:rFonts w:ascii="Times New Roman" w:hAnsi="Times New Roman"/>
          <w:sz w:val="28"/>
          <w:szCs w:val="28"/>
        </w:rPr>
        <w:t>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В нарушение статьи 34 БК РФ выявлено неэффективное использование бюджетных средств на сумму 277 546,58 руб. в связи с уплатой пени, неустойки и возмещения госпошлины по исполнительному листу  по платежным поручениям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от 13.04.2023 № 769627 в сумме 204 493,12 руб.;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от 13.04.2023 № 769626 в сумме 73 053,46 руб.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01.01.2023 нарушений не выявила.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AD714D">
        <w:rPr>
          <w:rFonts w:ascii="Times New Roman" w:hAnsi="Times New Roman"/>
          <w:sz w:val="28"/>
          <w:szCs w:val="28"/>
        </w:rPr>
        <w:t>(ф. 0503127)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бюджетных обязательств, принятых бюджетных и денежных обязательствах, исполненных денежных обяз</w:t>
      </w:r>
      <w:r w:rsidRPr="00AD714D">
        <w:rPr>
          <w:rFonts w:ascii="Times New Roman" w:hAnsi="Times New Roman"/>
          <w:sz w:val="28"/>
          <w:szCs w:val="28"/>
        </w:rPr>
        <w:t>а</w:t>
      </w:r>
      <w:r w:rsidRPr="00AD714D">
        <w:rPr>
          <w:rFonts w:ascii="Times New Roman" w:hAnsi="Times New Roman"/>
          <w:sz w:val="28"/>
          <w:szCs w:val="28"/>
        </w:rPr>
        <w:t>тельствах, не исполненных бюджетных и денежных обязательствах.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>Данные показателей раздела 1 «Бюджетные обязательства текущего (отче</w:t>
      </w:r>
      <w:r w:rsidRPr="00AD714D">
        <w:rPr>
          <w:rFonts w:ascii="Times New Roman" w:hAnsi="Times New Roman"/>
          <w:sz w:val="28"/>
          <w:szCs w:val="28"/>
        </w:rPr>
        <w:t>т</w:t>
      </w:r>
      <w:r w:rsidRPr="00AD714D">
        <w:rPr>
          <w:rFonts w:ascii="Times New Roman" w:hAnsi="Times New Roman"/>
          <w:sz w:val="28"/>
          <w:szCs w:val="28"/>
        </w:rPr>
        <w:t>ного) финансового года по расходам» Отчета о бюджетных обязательствах (ф. 0503128) соответствуют данным формы Отчета об исполнении бюджета (ф. 0503127).</w:t>
      </w:r>
    </w:p>
    <w:p w:rsidR="00AD714D" w:rsidRPr="00AD714D" w:rsidRDefault="00AD714D" w:rsidP="00AD7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eastAsiaTheme="minorEastAsia" w:hAnsi="Times New Roman"/>
          <w:sz w:val="28"/>
          <w:szCs w:val="28"/>
          <w:lang w:eastAsia="ru-RU"/>
        </w:rPr>
        <w:t>Данные по отложенным обязательствам, отраженные в разделе 3 «Обяз</w:t>
      </w:r>
      <w:r w:rsidRPr="00AD714D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AD714D">
        <w:rPr>
          <w:rFonts w:ascii="Times New Roman" w:eastAsiaTheme="minorEastAsia" w:hAnsi="Times New Roman"/>
          <w:sz w:val="28"/>
          <w:szCs w:val="28"/>
          <w:lang w:eastAsia="ru-RU"/>
        </w:rPr>
        <w:t>тельства финансовых годов, следующих за текущим (отчетным) финансовым г</w:t>
      </w:r>
      <w:r w:rsidRPr="00AD714D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AD714D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дом» </w:t>
      </w:r>
      <w:r w:rsidRPr="00AD714D">
        <w:rPr>
          <w:rFonts w:ascii="Times New Roman" w:hAnsi="Times New Roman"/>
          <w:sz w:val="28"/>
          <w:szCs w:val="28"/>
        </w:rPr>
        <w:t>Отчета о бюджетных обязательствах (ф. 0503128) соответствуют данным раздела 3 «Обязательства» Баланса (ф. 0503130) в части резервов предстоящих расходов и кредиторской задолженности.</w:t>
      </w:r>
    </w:p>
    <w:p w:rsidR="00AD714D" w:rsidRPr="00AD714D" w:rsidRDefault="00AD714D" w:rsidP="00AD7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hAnsi="Times New Roman"/>
          <w:sz w:val="28"/>
          <w:szCs w:val="28"/>
        </w:rPr>
        <w:t>Проверка текстовой части Пояснительной записки (ф. 0503160)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ний к ней показала следующее.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представленной в составе Пояснительной записки (ф. 0503160) Таблице № 3 «Сведения об исполнении текстовых статей закона (решения) о бюджете» з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Данные Сведений об исполнении бюджета (ф. 0503164) соответствуют да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ным Отчета об исполнении бюджета (ф. 0503127).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 0503160) Свед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вов (ф. 0503168) по состоянию на 01.01.2023, расхождений не установлено.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Балансовая стоимость основных средств, находящихся в эксплуатации и в оперативном управлении  по состоянию на 01.01.2023 составляла 17 778 440,64 руб. (110 единиц), по состоянию на 01.01.2024 года их стоимость увеличилась 11 378,00 руб. и составила 17 789 818,64 руб.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по состоянию на 01.01.2023 по данным Баланса (ф. 0503130) составляла 369 540,55 руб., по с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стоянию на 01.01.2024 увеличилась на 11 378,00 руб. и составила 380 918,55 руб., что также соответствует данным, отраженным в Сведениях о движении нефина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совых активов (ф. 0503168).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Остаточная стоимость основных средств по состоянию на 01.01.2023 сост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вила 17 408 900,09 руб.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Стоимость основных средств на </w:t>
      </w:r>
      <w:proofErr w:type="spellStart"/>
      <w:r w:rsidRPr="00AD714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забалансовом</w:t>
      </w:r>
      <w:proofErr w:type="spellEnd"/>
      <w:r w:rsidRPr="00AD714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счете 21 «Основные средства в эксплуатации» по состоянию на 01.01.2023 составляла 116 354,91 руб., по состо</w:t>
      </w:r>
      <w:r w:rsidRPr="00AD714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</w:t>
      </w:r>
      <w:r w:rsidRPr="00AD714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нию на 01.01.2024 увеличилась на 4 600,00 руб. и составила 120 954,91 руб.(42 ед</w:t>
      </w:r>
      <w:r w:rsidRPr="00AD714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AD714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ницы).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списаны вложения в основные средства (незаверше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ное строительство), финансовое обеспечение которых осуществлялось за счет местного бюджета, на сумму 901 913,98 руб. в связи с неактуальностью проектов (проектная документация  тротуара по ул. Калинина на сумму 299 915,0 руб., пр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ектно-сметная документация по реконструкции автомобильной дороги </w:t>
      </w:r>
      <w:proofErr w:type="spellStart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Шахарово</w:t>
      </w:r>
      <w:proofErr w:type="spellEnd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-Брехово на сумму 526 316,0 руб., проектно-изыскательские работы по газопров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ду с. </w:t>
      </w:r>
      <w:proofErr w:type="spellStart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Торговище</w:t>
      </w:r>
      <w:proofErr w:type="spellEnd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75</w:t>
      </w:r>
      <w:proofErr w:type="gramEnd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682,98 руб.).</w:t>
      </w:r>
      <w:proofErr w:type="gramEnd"/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01.01.2024 года по сра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нению с показателями на начало года уменьшилась на 4 963,00 руб. и составила 26 243,0 руб., что соответствует данным об остатках материальных запасов, отр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женным в Балансе (ф. 0503130) и Сведениях о движении нефинансовых активов (ф. 0503168).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поступали следующие материальные запасы: бумага, канцтовары, коврики для компьютерной мыши и т.п.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доходам  согласно Сведениям о дебиторской и кредиторской задолженности (вид задолженности – дебиторская задолже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ность) (ф. 0503169) на 01.01.2023 составляла 58 326 705,23 руб., по состоянию на 01.01.2024 уменьшилась на 9 414 239,89 руб.</w:t>
      </w:r>
      <w:r w:rsidR="00FC13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16,1%</w:t>
      </w:r>
      <w:r w:rsidR="00FC13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составила 48 912 465,34 руб., в том числе: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43 836 775,91 руб. – задолженность по субсидиям из Мин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истерства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тер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ториального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развития Пермского края за плановый период 2024-2025 год</w:t>
      </w:r>
      <w:r w:rsidR="00FC133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, недофинансирование за 2023 год в сумме 2</w:t>
      </w:r>
      <w:r w:rsidR="00FC13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568</w:t>
      </w:r>
      <w:r w:rsidR="00FC13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033</w:t>
      </w:r>
      <w:r w:rsidR="00FC13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67 руб.;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4 071 939,84 руб. – задолженность по субсидиям 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истерства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транс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а Пермского края за плановый период 2024-2025 годы;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267 054,32 руб. 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задолженность по субсидиям 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благоустройства Пермского края, недофинансиров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ние за 2023 год;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736 695,27 руб. 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расчеты с </w:t>
      </w:r>
      <w:r w:rsidR="00947840">
        <w:rPr>
          <w:rFonts w:ascii="Times New Roman" w:eastAsia="Times New Roman" w:hAnsi="Times New Roman"/>
          <w:sz w:val="28"/>
          <w:szCs w:val="28"/>
          <w:lang w:eastAsia="ru-RU"/>
        </w:rPr>
        <w:t xml:space="preserve">АО </w:t>
      </w:r>
      <w:r w:rsidR="009D77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47840">
        <w:rPr>
          <w:rFonts w:ascii="Times New Roman" w:eastAsia="Times New Roman" w:hAnsi="Times New Roman"/>
          <w:sz w:val="28"/>
          <w:szCs w:val="28"/>
          <w:lang w:eastAsia="ru-RU"/>
        </w:rPr>
        <w:t>Газпром Г</w:t>
      </w:r>
      <w:r w:rsidR="009D77FD">
        <w:rPr>
          <w:rFonts w:ascii="Times New Roman" w:eastAsia="Times New Roman" w:hAnsi="Times New Roman"/>
          <w:sz w:val="28"/>
          <w:szCs w:val="28"/>
          <w:lang w:eastAsia="ru-RU"/>
        </w:rPr>
        <w:t xml:space="preserve">азораспределение </w:t>
      </w:r>
      <w:r w:rsidR="00947840">
        <w:rPr>
          <w:rFonts w:ascii="Times New Roman" w:eastAsia="Times New Roman" w:hAnsi="Times New Roman"/>
          <w:sz w:val="28"/>
          <w:szCs w:val="28"/>
          <w:lang w:eastAsia="ru-RU"/>
        </w:rPr>
        <w:t>Пермь</w:t>
      </w:r>
      <w:r w:rsidR="009D77F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7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по врезке и первичному пуску газа.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Дебиторская задолженность по расходам по состоянию на начало года с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ставляла 320 000,0 руб., в течение года она увеличилась на 416 695,27 руб.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130,2%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она составила 736 695,27 руб.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доходам, согласно Сведениям о дебито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ской и кредиторской задолженности (вид задолженности – кредиторская задо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женность) (ф. 0503169) на 01.01.2023 составляла 1 794 640,44 руб. В течение 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четного года она уменьшилась 75 684,85 руб.</w:t>
      </w:r>
      <w:r w:rsidR="00FC13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4,22%</w:t>
      </w:r>
      <w:r w:rsidR="00FC13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конец года она составляла 1 718 955,59 руб. Вся сумма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это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задолженность по расчетам </w:t>
      </w:r>
      <w:r w:rsidRPr="009758A4">
        <w:rPr>
          <w:rFonts w:ascii="Times New Roman" w:eastAsia="Times New Roman" w:hAnsi="Times New Roman"/>
          <w:sz w:val="28"/>
          <w:szCs w:val="28"/>
          <w:lang w:eastAsia="ru-RU"/>
        </w:rPr>
        <w:t>с Мин</w:t>
      </w:r>
      <w:r w:rsidRPr="009758A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A4">
        <w:rPr>
          <w:rFonts w:ascii="Times New Roman" w:eastAsia="Times New Roman" w:hAnsi="Times New Roman"/>
          <w:sz w:val="28"/>
          <w:szCs w:val="28"/>
          <w:lang w:eastAsia="ru-RU"/>
        </w:rPr>
        <w:t xml:space="preserve">стерством </w:t>
      </w:r>
      <w:r w:rsidR="009758A4" w:rsidRPr="009758A4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 w:rsidRPr="009758A4">
        <w:rPr>
          <w:rFonts w:ascii="Times New Roman" w:eastAsia="Times New Roman" w:hAnsi="Times New Roman"/>
          <w:sz w:val="28"/>
          <w:szCs w:val="28"/>
          <w:lang w:eastAsia="ru-RU"/>
        </w:rPr>
        <w:t>и благоустройства Пермского края</w:t>
      </w:r>
      <w:proofErr w:type="gramEnd"/>
      <w:r w:rsidRPr="009758A4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остаток неиспользованной субсидии в 2023 году.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расходам по состоянию на начало года с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ставляла 64 981 134,32 руб., в течение года она уменьшилась на 61 600 271,07 руб.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94,78%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и к концу года составила 3 380 863,25 руб., в том числе: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1 043 999,04 руб. – задолженность перед ООО 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Агрохим</w:t>
      </w:r>
      <w:r w:rsidR="009F7D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работам за д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кабрь 2023 года из-за недостаточности финансирования;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1 229 154,67 руб. – задолженность перед ИП </w:t>
      </w:r>
      <w:proofErr w:type="spellStart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Беляевских</w:t>
      </w:r>
      <w:proofErr w:type="spellEnd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А.Н. по работам за декабрь 2023 года из-за недостаточности финансирования;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195 004,80 руб. – задолженность перед ИП Караваев А.А. по работам за д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кабрь 2023 года из-за недостаточности финансирования;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912 704,74 руб. </w:t>
      </w:r>
      <w:r w:rsidR="006F6BB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задолженность перед ИП Китаев В.Г. по работам за д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кабрь 20213 года из-за недостаточности финансирования.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0503169), соответствуют показателям, указанным в Балансе (ф. 0503130).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Данные показателей Сведений об изменении остатков валюты баланса </w:t>
      </w:r>
      <w:hyperlink r:id="rId10" w:history="1">
        <w:r w:rsidRPr="00AD714D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(ф. 0503173)</w:t>
        </w:r>
      </w:hyperlink>
      <w:r w:rsidRPr="00AD714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соответствуют данным, отраженным в Балансе (ф. 503130) на начало года.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>Показатели раздела 4 «Сведения об экономии при заключении госуда</w:t>
      </w:r>
      <w:r w:rsidRPr="00AD714D">
        <w:rPr>
          <w:rFonts w:ascii="Times New Roman" w:hAnsi="Times New Roman"/>
          <w:sz w:val="28"/>
          <w:szCs w:val="28"/>
        </w:rPr>
        <w:t>р</w:t>
      </w:r>
      <w:r w:rsidRPr="00AD714D">
        <w:rPr>
          <w:rFonts w:ascii="Times New Roman" w:hAnsi="Times New Roman"/>
          <w:sz w:val="28"/>
          <w:szCs w:val="28"/>
        </w:rPr>
        <w:t>ственных (муниципальных) контрактов с применением конкурентных способов» Сведений о принятых и неисполненных обязательствах получателя бюджетных средств (ф. 0503175) подтверждаются данными формы Отчета о бюджетных об</w:t>
      </w:r>
      <w:r w:rsidRPr="00AD714D">
        <w:rPr>
          <w:rFonts w:ascii="Times New Roman" w:hAnsi="Times New Roman"/>
          <w:sz w:val="28"/>
          <w:szCs w:val="28"/>
        </w:rPr>
        <w:t>я</w:t>
      </w:r>
      <w:r w:rsidRPr="00AD714D">
        <w:rPr>
          <w:rFonts w:ascii="Times New Roman" w:hAnsi="Times New Roman"/>
          <w:sz w:val="28"/>
          <w:szCs w:val="28"/>
        </w:rPr>
        <w:t>зательствах (ф. 0503128).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При проверке Сведений об остатках денежных средств на счетах получателя бюджетных средств (ф. 0503178) по средствам во временном распоряжении нарушений не обнаружено.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Остаток средств во временном распоряжении по состоянию на 01.01.2024 в сумме 805 624,17 руб., отраженный в Сведениях об остатках денежных средств на счетах получателя бюджетных средств (ф. 0503178), соответствует Балансу (ф. 0503130).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При проверке Сведений о вложениях в объекты недвижимого имущества, объектах незавершенного строительства (ф. 0503190) нарушений не установлено.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отчетности, не представленные ввиду отсутствия числовых показателей в соответствии с пунктом 8 Инструкции № 191н: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показателей отчетности субъекта бюджетной отчетности (таблица 14);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причины увеличения просроченной задолженности (таблица 15);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сведения об исполнении мероприятий в рамках целевых программ (форма 0503166);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сведения о целевых иностранных кредитах (форма 0503167);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сведения об изменении остатков валюты баланса (форма 0503173);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 xml:space="preserve">сведения о проведении инвентаризаций </w:t>
      </w:r>
      <w:hyperlink r:id="rId11" w:history="1">
        <w:r w:rsidRPr="00AD714D">
          <w:rPr>
            <w:rFonts w:ascii="Times New Roman" w:hAnsi="Times New Roman"/>
            <w:sz w:val="28"/>
            <w:szCs w:val="28"/>
          </w:rPr>
          <w:t>(Таблица № 6)</w:t>
        </w:r>
      </w:hyperlink>
      <w:r w:rsidRPr="00AD714D">
        <w:rPr>
          <w:rFonts w:ascii="Times New Roman" w:hAnsi="Times New Roman"/>
          <w:sz w:val="28"/>
          <w:szCs w:val="28"/>
        </w:rPr>
        <w:t>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 xml:space="preserve">сведения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 финансовых вложениях получателя бюджетных средств, адм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нистратора источников финансирования дефицита бюджета </w:t>
      </w:r>
      <w:hyperlink r:id="rId12" w:history="1">
        <w:r w:rsidRPr="00AD714D">
          <w:rPr>
            <w:rFonts w:ascii="Times New Roman" w:eastAsia="Times New Roman" w:hAnsi="Times New Roman"/>
            <w:sz w:val="28"/>
            <w:szCs w:val="28"/>
            <w:lang w:eastAsia="ru-RU"/>
          </w:rPr>
          <w:t>(форма 0503171)</w:t>
        </w:r>
      </w:hyperlink>
      <w:r w:rsidRPr="00AD714D">
        <w:rPr>
          <w:rFonts w:ascii="Times New Roman" w:hAnsi="Times New Roman"/>
          <w:sz w:val="28"/>
          <w:szCs w:val="28"/>
        </w:rPr>
        <w:t>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 xml:space="preserve">сведения о государственном (муниципальном) долге, предоставленных бюджетных кредитах </w:t>
      </w:r>
      <w:hyperlink r:id="rId13" w:history="1">
        <w:r w:rsidRPr="00AD714D">
          <w:rPr>
            <w:rFonts w:ascii="Times New Roman" w:hAnsi="Times New Roman"/>
            <w:sz w:val="28"/>
            <w:szCs w:val="28"/>
          </w:rPr>
          <w:t>(форма 0503172)</w:t>
        </w:r>
      </w:hyperlink>
      <w:r w:rsidRPr="00AD714D">
        <w:rPr>
          <w:rFonts w:ascii="Times New Roman" w:hAnsi="Times New Roman"/>
          <w:sz w:val="28"/>
          <w:szCs w:val="28"/>
        </w:rPr>
        <w:t>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4" w:history="1">
        <w:r w:rsidRPr="00AD714D">
          <w:rPr>
            <w:rFonts w:ascii="Times New Roman" w:hAnsi="Times New Roman"/>
            <w:sz w:val="28"/>
            <w:szCs w:val="28"/>
          </w:rPr>
          <w:t>(форма 0503174)</w:t>
        </w:r>
      </w:hyperlink>
      <w:r w:rsidRPr="00AD714D">
        <w:rPr>
          <w:rFonts w:ascii="Times New Roman" w:hAnsi="Times New Roman"/>
          <w:sz w:val="28"/>
          <w:szCs w:val="28"/>
        </w:rPr>
        <w:t>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 xml:space="preserve">сведения об остатках денежных средств на счетах получателя бюджетных средств </w:t>
      </w:r>
      <w:hyperlink r:id="rId15" w:history="1">
        <w:r w:rsidRPr="00AD714D">
          <w:rPr>
            <w:rFonts w:ascii="Times New Roman" w:hAnsi="Times New Roman"/>
            <w:sz w:val="28"/>
            <w:szCs w:val="28"/>
          </w:rPr>
          <w:t>(форма 0503178)</w:t>
        </w:r>
      </w:hyperlink>
      <w:r w:rsidRPr="00AD714D">
        <w:rPr>
          <w:rFonts w:ascii="Times New Roman" w:hAnsi="Times New Roman"/>
          <w:sz w:val="28"/>
          <w:szCs w:val="28"/>
        </w:rPr>
        <w:t xml:space="preserve"> по бюджетной деятельности;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 xml:space="preserve">сведения об исполнении судебных решений по денежным обязательствам бюджета </w:t>
      </w:r>
      <w:hyperlink r:id="rId16" w:history="1">
        <w:r w:rsidRPr="00AD714D">
          <w:rPr>
            <w:rFonts w:ascii="Times New Roman" w:hAnsi="Times New Roman"/>
            <w:sz w:val="28"/>
            <w:szCs w:val="28"/>
          </w:rPr>
          <w:t>(форма 0503296)</w:t>
        </w:r>
      </w:hyperlink>
      <w:r w:rsidRPr="00AD714D">
        <w:rPr>
          <w:rFonts w:ascii="Times New Roman" w:hAnsi="Times New Roman"/>
          <w:sz w:val="28"/>
          <w:szCs w:val="28"/>
        </w:rPr>
        <w:t>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>справка о суммах консолидируемых поступлений, подлежащих зачислению  на счет бюджета (форма 0503184);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 xml:space="preserve">сведения о безвозмездной передаче (получению) нефинансовых активов, финансовых активов (за исключением денежных средств) (форма </w:t>
      </w:r>
      <w:r w:rsidRPr="00AD714D">
        <w:rPr>
          <w:rFonts w:ascii="Times New Roman" w:hAnsi="Times New Roman"/>
          <w:sz w:val="28"/>
          <w:szCs w:val="28"/>
          <w:lang w:val="en-US"/>
        </w:rPr>
        <w:t>x</w:t>
      </w:r>
      <w:r w:rsidRPr="00AD714D">
        <w:rPr>
          <w:rFonts w:ascii="Times New Roman" w:hAnsi="Times New Roman"/>
          <w:sz w:val="28"/>
          <w:szCs w:val="28"/>
        </w:rPr>
        <w:t>25КУ).</w:t>
      </w:r>
    </w:p>
    <w:p w:rsidR="006D6C35" w:rsidRPr="004B1EE9" w:rsidRDefault="006D6C35" w:rsidP="006D6C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BB7" w:rsidRDefault="006D6C35" w:rsidP="006D6C35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</w:t>
      </w:r>
      <w:r>
        <w:rPr>
          <w:rFonts w:ascii="Times New Roman" w:hAnsi="Times New Roman"/>
          <w:b/>
          <w:i/>
          <w:sz w:val="28"/>
          <w:szCs w:val="28"/>
        </w:rPr>
        <w:t>я</w:t>
      </w:r>
    </w:p>
    <w:p w:rsidR="006F6BB7" w:rsidRDefault="006F6BB7" w:rsidP="006D6C35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6D6C35" w:rsidRPr="00895F76">
        <w:rPr>
          <w:rFonts w:ascii="Times New Roman" w:hAnsi="Times New Roman"/>
          <w:b/>
          <w:i/>
          <w:sz w:val="28"/>
          <w:szCs w:val="28"/>
        </w:rPr>
        <w:t>бъект</w:t>
      </w:r>
      <w:r w:rsidR="006D6C35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D6C35"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6D6C35" w:rsidRPr="000D3AF4" w:rsidRDefault="006D6C35" w:rsidP="006D6C35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6F6BB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AF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6D6C35" w:rsidRDefault="006D6C35" w:rsidP="006D6C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6D6C35" w:rsidRPr="00DA4D56" w:rsidRDefault="006D6C35" w:rsidP="006D6C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Управлением капитального строительства </w:t>
      </w: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Суксунского г</w:t>
      </w: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родского округа Пермского края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 и возражения на результаты контрол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мероприятия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6D6C35" w:rsidRDefault="006D6C35" w:rsidP="00AD7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714D" w:rsidRPr="006F6BB7" w:rsidRDefault="00AD714D" w:rsidP="006F6BB7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F6BB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Выводы</w:t>
      </w:r>
    </w:p>
    <w:p w:rsidR="0034496C" w:rsidRPr="00AD714D" w:rsidRDefault="0034496C" w:rsidP="00AD7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6D6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Думы Суксунского городского округа от 08.12.2022 № 305 «О бюджете Суксунского городского округа на 2023 год и на плановый период 2024 и 2025 годов» за Управлением капитального строительства </w:t>
      </w:r>
      <w:r w:rsidR="0060519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60519B" w:rsidRPr="006D6C35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 округа</w:t>
      </w:r>
      <w:r w:rsidR="0060519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60519B"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закреплены д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ходы бюджета на 2023 год в сумме 112 581 176,31 руб. Фактическое исполнение по доходам за 2023 год составило 109 750 544,79</w:t>
      </w:r>
      <w:proofErr w:type="gramEnd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или 97,5% утвержденных бюджетных назначений.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бюджетные назначения </w:t>
      </w:r>
      <w:r w:rsidR="0060519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расходам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Управления капитал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строительства на 2023 год составили 190 453 353,16 руб. </w:t>
      </w:r>
      <w:r w:rsidR="0060519B" w:rsidRPr="00AD714D">
        <w:rPr>
          <w:rFonts w:ascii="Times New Roman" w:eastAsia="Times New Roman" w:hAnsi="Times New Roman"/>
          <w:sz w:val="28"/>
          <w:szCs w:val="28"/>
          <w:lang w:eastAsia="ru-RU"/>
        </w:rPr>
        <w:t>Фактическое и</w:t>
      </w:r>
      <w:r w:rsidR="0060519B" w:rsidRPr="00AD71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0519B" w:rsidRPr="00AD714D">
        <w:rPr>
          <w:rFonts w:ascii="Times New Roman" w:eastAsia="Times New Roman" w:hAnsi="Times New Roman"/>
          <w:sz w:val="28"/>
          <w:szCs w:val="28"/>
          <w:lang w:eastAsia="ru-RU"/>
        </w:rPr>
        <w:t>полнени</w:t>
      </w:r>
      <w:r w:rsidR="0060519B">
        <w:rPr>
          <w:rFonts w:ascii="Times New Roman" w:eastAsia="Times New Roman" w:hAnsi="Times New Roman"/>
          <w:sz w:val="28"/>
          <w:szCs w:val="28"/>
          <w:lang w:eastAsia="ru-RU"/>
        </w:rPr>
        <w:t>е по расходам за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</w:t>
      </w:r>
      <w:r w:rsidR="0060519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180 757 932,52 руб., или 94,9%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утвержденных бюджетных назначений.</w:t>
      </w:r>
    </w:p>
    <w:p w:rsidR="00AD714D" w:rsidRPr="0034496C" w:rsidRDefault="0034496C" w:rsidP="0034496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AD714D" w:rsidRPr="0034496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форм бюджетной отчетности Управления капитального </w:t>
      </w:r>
      <w:r w:rsidR="006F6BB7" w:rsidRPr="00AD714D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6F6BB7" w:rsidRPr="00AD71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F6BB7" w:rsidRPr="00AD714D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городского округа Пермского края</w:t>
      </w:r>
      <w:r w:rsidR="006F6BB7" w:rsidRPr="00344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714D" w:rsidRPr="0034496C">
        <w:rPr>
          <w:rFonts w:ascii="Times New Roman" w:eastAsia="Times New Roman" w:hAnsi="Times New Roman"/>
          <w:sz w:val="28"/>
          <w:szCs w:val="28"/>
          <w:lang w:eastAsia="ru-RU"/>
        </w:rPr>
        <w:t>строительства соотве</w:t>
      </w:r>
      <w:r w:rsidR="00AD714D" w:rsidRPr="0034496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D714D" w:rsidRPr="0034496C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ствует требованиям </w:t>
      </w:r>
      <w:r w:rsidR="00AD714D" w:rsidRPr="0034496C">
        <w:rPr>
          <w:rFonts w:ascii="Times New Roman" w:hAnsi="Times New Roman"/>
          <w:sz w:val="28"/>
          <w:szCs w:val="28"/>
        </w:rPr>
        <w:t>Инструкции № 191н.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4D">
        <w:rPr>
          <w:rFonts w:ascii="Times New Roman" w:hAnsi="Times New Roman"/>
          <w:sz w:val="28"/>
          <w:szCs w:val="28"/>
        </w:rPr>
        <w:t>Фактов неполноты бюджетной отчетности не установлено.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AD714D" w:rsidRPr="00AD714D" w:rsidRDefault="00AD714D" w:rsidP="00AD7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4. В нарушение статьи 34 БК РФ </w:t>
      </w:r>
      <w:r w:rsidR="0060519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капитального строительства Администрации Суксунского городского округа Пермского края </w:t>
      </w:r>
      <w:r w:rsidR="006F6BB7">
        <w:rPr>
          <w:rFonts w:ascii="Times New Roman" w:eastAsia="Times New Roman" w:hAnsi="Times New Roman"/>
          <w:sz w:val="28"/>
          <w:szCs w:val="28"/>
          <w:lang w:eastAsia="ru-RU"/>
        </w:rPr>
        <w:t>допущено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неэ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фективное использование бюджетных средств на сумму 277 546,58 руб. в связи с уплатой пени, неустойки и возмещения госпошлины по исполн</w:t>
      </w:r>
      <w:r w:rsidR="006F6BB7">
        <w:rPr>
          <w:rFonts w:ascii="Times New Roman" w:eastAsia="Times New Roman" w:hAnsi="Times New Roman"/>
          <w:sz w:val="28"/>
          <w:szCs w:val="28"/>
          <w:lang w:eastAsia="ru-RU"/>
        </w:rPr>
        <w:t>ительному листу.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5. В ходе проверки выявлены нарушения, в целом не оказавшие влияния на достоверность бюджетной отчетности Управления капитального строительства </w:t>
      </w:r>
      <w:r w:rsidR="006F6BB7"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Суксунского городского округа Пермского края </w:t>
      </w: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за 2023 год.</w:t>
      </w: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14D" w:rsidRPr="00AD714D" w:rsidRDefault="00AD714D" w:rsidP="00AD71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Проведенная проверка годовой бюджетной отчетности за 2023 год главного </w:t>
      </w:r>
      <w:proofErr w:type="gramStart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>администратора бюджетных средств Управления капитального строительства Администрации</w:t>
      </w:r>
      <w:proofErr w:type="gramEnd"/>
      <w:r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 Пермского края дает основание полагать, что отчетность является достоверной.</w:t>
      </w:r>
    </w:p>
    <w:p w:rsidR="00FE73E0" w:rsidRPr="00FE73E0" w:rsidRDefault="00FE73E0" w:rsidP="00FE7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FB5" w:rsidRPr="006F6BB7" w:rsidRDefault="006F6BB7" w:rsidP="006F6BB7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Предложения (рекомендации)</w:t>
      </w:r>
    </w:p>
    <w:p w:rsidR="0034496C" w:rsidRDefault="0034496C" w:rsidP="00450F9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F7C" w:rsidRPr="006D6C35" w:rsidRDefault="00450F99" w:rsidP="00735F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3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5F7C" w:rsidRPr="006D6C35">
        <w:rPr>
          <w:rFonts w:ascii="Times New Roman" w:eastAsia="Times New Roman" w:hAnsi="Times New Roman"/>
          <w:sz w:val="28"/>
          <w:szCs w:val="28"/>
          <w:lang w:eastAsia="ru-RU"/>
        </w:rPr>
        <w:t>. Направить представление Контрольно-счетной палаты Суксунского г</w:t>
      </w:r>
      <w:r w:rsidR="00735F7C" w:rsidRPr="006D6C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6D6C35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Пермского края в </w:t>
      </w:r>
      <w:r w:rsidR="006D6C35" w:rsidRPr="00AD714D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6D6C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D6C35" w:rsidRPr="00AD714D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</w:t>
      </w:r>
      <w:r w:rsidR="00735F7C" w:rsidRPr="006D6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C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D6C3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D6C35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</w:t>
      </w:r>
      <w:r w:rsidR="00735F7C" w:rsidRPr="006D6C35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 округа</w:t>
      </w:r>
      <w:r w:rsidR="006D6C3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735F7C" w:rsidRPr="006D6C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450F99" w:rsidP="00735F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5F7C" w:rsidRPr="006D6C35">
        <w:rPr>
          <w:rFonts w:ascii="Times New Roman" w:eastAsia="Times New Roman" w:hAnsi="Times New Roman"/>
          <w:sz w:val="28"/>
          <w:szCs w:val="28"/>
          <w:lang w:eastAsia="ru-RU"/>
        </w:rPr>
        <w:t>. Направить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и информацию об основных итогах контрольного мер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и главе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2A2C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108" w:rsidRDefault="00CF0108" w:rsidP="00FF2489">
      <w:pPr>
        <w:pStyle w:val="21"/>
        <w:spacing w:line="240" w:lineRule="exact"/>
        <w:ind w:firstLine="0"/>
      </w:pPr>
    </w:p>
    <w:p w:rsidR="00CF0108" w:rsidRPr="006D2F8D" w:rsidRDefault="00CF0108" w:rsidP="00FF2489">
      <w:pPr>
        <w:pStyle w:val="21"/>
        <w:spacing w:line="240" w:lineRule="exact"/>
        <w:ind w:firstLine="0"/>
      </w:pPr>
    </w:p>
    <w:p w:rsidR="006F6BB7" w:rsidRDefault="0034496C" w:rsidP="003449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6F6BB7" w:rsidRDefault="006F6BB7" w:rsidP="003449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496C">
        <w:rPr>
          <w:rFonts w:ascii="Times New Roman" w:hAnsi="Times New Roman"/>
          <w:sz w:val="28"/>
          <w:szCs w:val="28"/>
        </w:rPr>
        <w:t>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34496C"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34496C">
        <w:rPr>
          <w:rFonts w:ascii="Times New Roman" w:hAnsi="Times New Roman"/>
          <w:sz w:val="28"/>
          <w:szCs w:val="28"/>
        </w:rPr>
        <w:t>городск</w:t>
      </w:r>
      <w:r w:rsidR="0034496C" w:rsidRPr="006D2F8D">
        <w:rPr>
          <w:rFonts w:ascii="Times New Roman" w:hAnsi="Times New Roman"/>
          <w:sz w:val="28"/>
          <w:szCs w:val="28"/>
        </w:rPr>
        <w:t xml:space="preserve">ого </w:t>
      </w:r>
      <w:r w:rsidR="0034496C">
        <w:rPr>
          <w:rFonts w:ascii="Times New Roman" w:hAnsi="Times New Roman"/>
          <w:sz w:val="28"/>
          <w:szCs w:val="28"/>
        </w:rPr>
        <w:t>округ</w:t>
      </w:r>
      <w:r w:rsidR="0034496C" w:rsidRPr="006D2F8D">
        <w:rPr>
          <w:rFonts w:ascii="Times New Roman" w:hAnsi="Times New Roman"/>
          <w:sz w:val="28"/>
          <w:szCs w:val="28"/>
        </w:rPr>
        <w:t>а</w:t>
      </w:r>
    </w:p>
    <w:p w:rsidR="00A816AB" w:rsidRPr="006D2F8D" w:rsidRDefault="0034496C" w:rsidP="003449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Пермского края </w:t>
      </w:r>
      <w:r w:rsidRPr="006D2F8D">
        <w:rPr>
          <w:rFonts w:ascii="Times New Roman" w:hAnsi="Times New Roman"/>
          <w:sz w:val="28"/>
          <w:szCs w:val="28"/>
        </w:rPr>
        <w:t xml:space="preserve">       </w:t>
      </w:r>
      <w:r w:rsidR="006F6BB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                 О.Г. Туголукова</w:t>
      </w:r>
    </w:p>
    <w:sectPr w:rsidR="00A816AB" w:rsidRPr="006D2F8D" w:rsidSect="00BC1BA7">
      <w:headerReference w:type="default" r:id="rId17"/>
      <w:headerReference w:type="firs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2B" w:rsidRDefault="00FC272B" w:rsidP="004F76E4">
      <w:pPr>
        <w:spacing w:after="0" w:line="240" w:lineRule="auto"/>
      </w:pPr>
      <w:r>
        <w:separator/>
      </w:r>
    </w:p>
  </w:endnote>
  <w:endnote w:type="continuationSeparator" w:id="0">
    <w:p w:rsidR="00FC272B" w:rsidRDefault="00FC272B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2B" w:rsidRDefault="00FC272B" w:rsidP="004F76E4">
      <w:pPr>
        <w:spacing w:after="0" w:line="240" w:lineRule="auto"/>
      </w:pPr>
      <w:r>
        <w:separator/>
      </w:r>
    </w:p>
  </w:footnote>
  <w:footnote w:type="continuationSeparator" w:id="0">
    <w:p w:rsidR="00FC272B" w:rsidRDefault="00FC272B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F7DCC" w:rsidRPr="00255904" w:rsidRDefault="009F7DCC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245EAC">
          <w:rPr>
            <w:rFonts w:ascii="Times New Roman" w:hAnsi="Times New Roman"/>
            <w:noProof/>
            <w:sz w:val="28"/>
            <w:szCs w:val="28"/>
          </w:rPr>
          <w:t>6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F7DCC" w:rsidRDefault="009F7DC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CC" w:rsidRDefault="009F7DCC">
    <w:pPr>
      <w:pStyle w:val="aa"/>
      <w:jc w:val="center"/>
    </w:pPr>
  </w:p>
  <w:p w:rsidR="009F7DCC" w:rsidRDefault="009F7D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24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5"/>
  </w:num>
  <w:num w:numId="20">
    <w:abstractNumId w:val="18"/>
  </w:num>
  <w:num w:numId="21">
    <w:abstractNumId w:val="2"/>
  </w:num>
  <w:num w:numId="22">
    <w:abstractNumId w:val="10"/>
  </w:num>
  <w:num w:numId="23">
    <w:abstractNumId w:val="7"/>
  </w:num>
  <w:num w:numId="24">
    <w:abstractNumId w:val="6"/>
  </w:num>
  <w:num w:numId="25">
    <w:abstractNumId w:val="3"/>
  </w:num>
  <w:num w:numId="26">
    <w:abstractNumId w:val="22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5933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ED5"/>
    <w:rsid w:val="00043F6F"/>
    <w:rsid w:val="000458E6"/>
    <w:rsid w:val="00047FE5"/>
    <w:rsid w:val="000525A1"/>
    <w:rsid w:val="00057264"/>
    <w:rsid w:val="00061881"/>
    <w:rsid w:val="0006361C"/>
    <w:rsid w:val="00070112"/>
    <w:rsid w:val="000702E3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15"/>
    <w:rsid w:val="0009218D"/>
    <w:rsid w:val="0009230F"/>
    <w:rsid w:val="00092BB4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1861"/>
    <w:rsid w:val="000B482A"/>
    <w:rsid w:val="000B5F46"/>
    <w:rsid w:val="000C0D2A"/>
    <w:rsid w:val="000C0DE2"/>
    <w:rsid w:val="000C208F"/>
    <w:rsid w:val="000C26A1"/>
    <w:rsid w:val="000C4837"/>
    <w:rsid w:val="000C4A52"/>
    <w:rsid w:val="000C4E84"/>
    <w:rsid w:val="000D1380"/>
    <w:rsid w:val="000D2A9C"/>
    <w:rsid w:val="000D48F5"/>
    <w:rsid w:val="000D4C8F"/>
    <w:rsid w:val="000D4FCA"/>
    <w:rsid w:val="000D5502"/>
    <w:rsid w:val="000D71E0"/>
    <w:rsid w:val="000E1964"/>
    <w:rsid w:val="000E1B5A"/>
    <w:rsid w:val="000E5534"/>
    <w:rsid w:val="000F0071"/>
    <w:rsid w:val="000F2F77"/>
    <w:rsid w:val="000F73F6"/>
    <w:rsid w:val="000F7C27"/>
    <w:rsid w:val="00100C8E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2DE3"/>
    <w:rsid w:val="001230E9"/>
    <w:rsid w:val="00127C2C"/>
    <w:rsid w:val="00131C16"/>
    <w:rsid w:val="0013386A"/>
    <w:rsid w:val="00133B5E"/>
    <w:rsid w:val="00134EE1"/>
    <w:rsid w:val="001356A0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61122"/>
    <w:rsid w:val="00163E46"/>
    <w:rsid w:val="00172A7F"/>
    <w:rsid w:val="00173A3B"/>
    <w:rsid w:val="0017411B"/>
    <w:rsid w:val="00181731"/>
    <w:rsid w:val="001854AD"/>
    <w:rsid w:val="00185B8C"/>
    <w:rsid w:val="0019329B"/>
    <w:rsid w:val="001943F2"/>
    <w:rsid w:val="00195344"/>
    <w:rsid w:val="00196688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3B5B"/>
    <w:rsid w:val="001E6904"/>
    <w:rsid w:val="001F328E"/>
    <w:rsid w:val="001F34A6"/>
    <w:rsid w:val="001F4C55"/>
    <w:rsid w:val="001F6662"/>
    <w:rsid w:val="0020408F"/>
    <w:rsid w:val="00204654"/>
    <w:rsid w:val="00205D34"/>
    <w:rsid w:val="0020661C"/>
    <w:rsid w:val="002072A9"/>
    <w:rsid w:val="0021059C"/>
    <w:rsid w:val="00211A25"/>
    <w:rsid w:val="0021258F"/>
    <w:rsid w:val="00215FF8"/>
    <w:rsid w:val="00217B04"/>
    <w:rsid w:val="00221C92"/>
    <w:rsid w:val="00225A2C"/>
    <w:rsid w:val="0023165D"/>
    <w:rsid w:val="00233452"/>
    <w:rsid w:val="00236C69"/>
    <w:rsid w:val="002403D1"/>
    <w:rsid w:val="00240B4C"/>
    <w:rsid w:val="002447C9"/>
    <w:rsid w:val="00245EAC"/>
    <w:rsid w:val="002467CF"/>
    <w:rsid w:val="002473DE"/>
    <w:rsid w:val="00247574"/>
    <w:rsid w:val="002505F5"/>
    <w:rsid w:val="0025324D"/>
    <w:rsid w:val="00255696"/>
    <w:rsid w:val="00255904"/>
    <w:rsid w:val="0026028F"/>
    <w:rsid w:val="0026163A"/>
    <w:rsid w:val="00262DF0"/>
    <w:rsid w:val="0026301D"/>
    <w:rsid w:val="002663DA"/>
    <w:rsid w:val="00267091"/>
    <w:rsid w:val="002673FB"/>
    <w:rsid w:val="00267C2E"/>
    <w:rsid w:val="0027275B"/>
    <w:rsid w:val="00282EC2"/>
    <w:rsid w:val="00283987"/>
    <w:rsid w:val="00283D91"/>
    <w:rsid w:val="002841DA"/>
    <w:rsid w:val="00284A3B"/>
    <w:rsid w:val="00294738"/>
    <w:rsid w:val="002A01EF"/>
    <w:rsid w:val="002A0E89"/>
    <w:rsid w:val="002A2C17"/>
    <w:rsid w:val="002A3486"/>
    <w:rsid w:val="002A426A"/>
    <w:rsid w:val="002A4B99"/>
    <w:rsid w:val="002A533D"/>
    <w:rsid w:val="002B33C0"/>
    <w:rsid w:val="002B5D52"/>
    <w:rsid w:val="002C006C"/>
    <w:rsid w:val="002C07E3"/>
    <w:rsid w:val="002C0A2F"/>
    <w:rsid w:val="002C2CDA"/>
    <w:rsid w:val="002C3015"/>
    <w:rsid w:val="002C3F2E"/>
    <w:rsid w:val="002C58E2"/>
    <w:rsid w:val="002D0A4D"/>
    <w:rsid w:val="002E04A0"/>
    <w:rsid w:val="002E1B13"/>
    <w:rsid w:val="002E2216"/>
    <w:rsid w:val="002E2FDC"/>
    <w:rsid w:val="002E3644"/>
    <w:rsid w:val="002E4CAF"/>
    <w:rsid w:val="002E6FDA"/>
    <w:rsid w:val="002F0E9A"/>
    <w:rsid w:val="002F223D"/>
    <w:rsid w:val="002F76AE"/>
    <w:rsid w:val="002F7C63"/>
    <w:rsid w:val="003032A9"/>
    <w:rsid w:val="0030385E"/>
    <w:rsid w:val="00303C7F"/>
    <w:rsid w:val="003047C9"/>
    <w:rsid w:val="003113F1"/>
    <w:rsid w:val="00311668"/>
    <w:rsid w:val="00313F4C"/>
    <w:rsid w:val="003176AC"/>
    <w:rsid w:val="0032029D"/>
    <w:rsid w:val="00323D7D"/>
    <w:rsid w:val="003244DF"/>
    <w:rsid w:val="0032500A"/>
    <w:rsid w:val="00325E89"/>
    <w:rsid w:val="00326090"/>
    <w:rsid w:val="0032796B"/>
    <w:rsid w:val="00331659"/>
    <w:rsid w:val="00333047"/>
    <w:rsid w:val="00334D0B"/>
    <w:rsid w:val="00340563"/>
    <w:rsid w:val="00342594"/>
    <w:rsid w:val="003437A1"/>
    <w:rsid w:val="003437BE"/>
    <w:rsid w:val="0034496C"/>
    <w:rsid w:val="003459B3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231B"/>
    <w:rsid w:val="00393782"/>
    <w:rsid w:val="003946DE"/>
    <w:rsid w:val="003958FB"/>
    <w:rsid w:val="00396E9A"/>
    <w:rsid w:val="003A0D37"/>
    <w:rsid w:val="003A36E9"/>
    <w:rsid w:val="003A6F05"/>
    <w:rsid w:val="003B291A"/>
    <w:rsid w:val="003B3AB9"/>
    <w:rsid w:val="003B3FAB"/>
    <w:rsid w:val="003B4830"/>
    <w:rsid w:val="003B4ABF"/>
    <w:rsid w:val="003B5078"/>
    <w:rsid w:val="003B5A11"/>
    <w:rsid w:val="003B605E"/>
    <w:rsid w:val="003B7148"/>
    <w:rsid w:val="003C5775"/>
    <w:rsid w:val="003D052C"/>
    <w:rsid w:val="003D180B"/>
    <w:rsid w:val="003D2A9B"/>
    <w:rsid w:val="003D5C81"/>
    <w:rsid w:val="003E0424"/>
    <w:rsid w:val="003E2610"/>
    <w:rsid w:val="003E4C05"/>
    <w:rsid w:val="003E4E33"/>
    <w:rsid w:val="003F0211"/>
    <w:rsid w:val="003F15F6"/>
    <w:rsid w:val="003F26C8"/>
    <w:rsid w:val="003F48E4"/>
    <w:rsid w:val="003F5D56"/>
    <w:rsid w:val="003F685F"/>
    <w:rsid w:val="00403055"/>
    <w:rsid w:val="00403322"/>
    <w:rsid w:val="00404A2A"/>
    <w:rsid w:val="004052E6"/>
    <w:rsid w:val="00405546"/>
    <w:rsid w:val="00405DC6"/>
    <w:rsid w:val="004071A4"/>
    <w:rsid w:val="00407C30"/>
    <w:rsid w:val="00414699"/>
    <w:rsid w:val="00414CCA"/>
    <w:rsid w:val="004160D7"/>
    <w:rsid w:val="00416D7D"/>
    <w:rsid w:val="004251CD"/>
    <w:rsid w:val="00425425"/>
    <w:rsid w:val="00433AED"/>
    <w:rsid w:val="00434259"/>
    <w:rsid w:val="00434713"/>
    <w:rsid w:val="00436E4D"/>
    <w:rsid w:val="00440FD0"/>
    <w:rsid w:val="00441017"/>
    <w:rsid w:val="004423AC"/>
    <w:rsid w:val="00446FDD"/>
    <w:rsid w:val="0044737B"/>
    <w:rsid w:val="00450F99"/>
    <w:rsid w:val="004510D0"/>
    <w:rsid w:val="00451867"/>
    <w:rsid w:val="0045242A"/>
    <w:rsid w:val="00454634"/>
    <w:rsid w:val="00463A5B"/>
    <w:rsid w:val="00463F64"/>
    <w:rsid w:val="00464444"/>
    <w:rsid w:val="004674E9"/>
    <w:rsid w:val="00473932"/>
    <w:rsid w:val="004754A2"/>
    <w:rsid w:val="0047654E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B2ED4"/>
    <w:rsid w:val="004B6BBA"/>
    <w:rsid w:val="004B7753"/>
    <w:rsid w:val="004C1D00"/>
    <w:rsid w:val="004C1FE6"/>
    <w:rsid w:val="004C21DA"/>
    <w:rsid w:val="004C5C4E"/>
    <w:rsid w:val="004C74C2"/>
    <w:rsid w:val="004D4E33"/>
    <w:rsid w:val="004D7EF1"/>
    <w:rsid w:val="004E1422"/>
    <w:rsid w:val="004E40B7"/>
    <w:rsid w:val="004E47DB"/>
    <w:rsid w:val="004E7D50"/>
    <w:rsid w:val="004F0CFE"/>
    <w:rsid w:val="004F6397"/>
    <w:rsid w:val="004F6619"/>
    <w:rsid w:val="004F76E4"/>
    <w:rsid w:val="0050059C"/>
    <w:rsid w:val="00501DAE"/>
    <w:rsid w:val="00503C30"/>
    <w:rsid w:val="00504F6F"/>
    <w:rsid w:val="005074C1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4F2D"/>
    <w:rsid w:val="005526EC"/>
    <w:rsid w:val="00553589"/>
    <w:rsid w:val="00555E2E"/>
    <w:rsid w:val="0055699A"/>
    <w:rsid w:val="00556E36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377"/>
    <w:rsid w:val="005C0B8A"/>
    <w:rsid w:val="005C1C8E"/>
    <w:rsid w:val="005C23DD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14C8"/>
    <w:rsid w:val="005F1C21"/>
    <w:rsid w:val="005F2C43"/>
    <w:rsid w:val="005F501F"/>
    <w:rsid w:val="005F7953"/>
    <w:rsid w:val="00604091"/>
    <w:rsid w:val="0060519B"/>
    <w:rsid w:val="00607729"/>
    <w:rsid w:val="00615179"/>
    <w:rsid w:val="00615A61"/>
    <w:rsid w:val="0061768A"/>
    <w:rsid w:val="00621275"/>
    <w:rsid w:val="00624DB7"/>
    <w:rsid w:val="00625B31"/>
    <w:rsid w:val="006326D6"/>
    <w:rsid w:val="00635D4E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2431"/>
    <w:rsid w:val="0066300B"/>
    <w:rsid w:val="00667142"/>
    <w:rsid w:val="00667A5C"/>
    <w:rsid w:val="00670618"/>
    <w:rsid w:val="00670BB3"/>
    <w:rsid w:val="00670ECB"/>
    <w:rsid w:val="00671D99"/>
    <w:rsid w:val="00672239"/>
    <w:rsid w:val="006759CB"/>
    <w:rsid w:val="00681605"/>
    <w:rsid w:val="00686465"/>
    <w:rsid w:val="0069482E"/>
    <w:rsid w:val="006A16C7"/>
    <w:rsid w:val="006A49BD"/>
    <w:rsid w:val="006A6216"/>
    <w:rsid w:val="006A6877"/>
    <w:rsid w:val="006A763F"/>
    <w:rsid w:val="006B2FEA"/>
    <w:rsid w:val="006B47D7"/>
    <w:rsid w:val="006B5B95"/>
    <w:rsid w:val="006B5DCD"/>
    <w:rsid w:val="006C50F1"/>
    <w:rsid w:val="006C64F8"/>
    <w:rsid w:val="006D1DD4"/>
    <w:rsid w:val="006D2F8D"/>
    <w:rsid w:val="006D3028"/>
    <w:rsid w:val="006D39A8"/>
    <w:rsid w:val="006D6C35"/>
    <w:rsid w:val="006D7FB1"/>
    <w:rsid w:val="006E06B5"/>
    <w:rsid w:val="006E2557"/>
    <w:rsid w:val="006E32E3"/>
    <w:rsid w:val="006E47EC"/>
    <w:rsid w:val="006E4D24"/>
    <w:rsid w:val="006E6738"/>
    <w:rsid w:val="006F0A07"/>
    <w:rsid w:val="006F5396"/>
    <w:rsid w:val="006F6BB7"/>
    <w:rsid w:val="00700586"/>
    <w:rsid w:val="00703181"/>
    <w:rsid w:val="0070618B"/>
    <w:rsid w:val="00710F9B"/>
    <w:rsid w:val="00711313"/>
    <w:rsid w:val="007120EE"/>
    <w:rsid w:val="00713686"/>
    <w:rsid w:val="007203F2"/>
    <w:rsid w:val="00722780"/>
    <w:rsid w:val="00722E3B"/>
    <w:rsid w:val="00732B33"/>
    <w:rsid w:val="007346CD"/>
    <w:rsid w:val="00735F7C"/>
    <w:rsid w:val="0073751D"/>
    <w:rsid w:val="00737539"/>
    <w:rsid w:val="00740C12"/>
    <w:rsid w:val="00746406"/>
    <w:rsid w:val="00756890"/>
    <w:rsid w:val="007607CB"/>
    <w:rsid w:val="007624D6"/>
    <w:rsid w:val="00762C71"/>
    <w:rsid w:val="00765471"/>
    <w:rsid w:val="00770E94"/>
    <w:rsid w:val="00774C01"/>
    <w:rsid w:val="00785A04"/>
    <w:rsid w:val="00787F1E"/>
    <w:rsid w:val="007926AD"/>
    <w:rsid w:val="00793E7F"/>
    <w:rsid w:val="00794277"/>
    <w:rsid w:val="0079499D"/>
    <w:rsid w:val="00795ACB"/>
    <w:rsid w:val="0079755E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D1196"/>
    <w:rsid w:val="007D2541"/>
    <w:rsid w:val="007D299A"/>
    <w:rsid w:val="007D2C4C"/>
    <w:rsid w:val="007D2F4D"/>
    <w:rsid w:val="007D4E78"/>
    <w:rsid w:val="007D5E7D"/>
    <w:rsid w:val="007D7212"/>
    <w:rsid w:val="007E0085"/>
    <w:rsid w:val="007E1523"/>
    <w:rsid w:val="007E21B4"/>
    <w:rsid w:val="007E3C4F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15876"/>
    <w:rsid w:val="00820196"/>
    <w:rsid w:val="00822D10"/>
    <w:rsid w:val="00824966"/>
    <w:rsid w:val="008258DB"/>
    <w:rsid w:val="00825FF2"/>
    <w:rsid w:val="008277E7"/>
    <w:rsid w:val="00830DC3"/>
    <w:rsid w:val="00834765"/>
    <w:rsid w:val="00836725"/>
    <w:rsid w:val="0084484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60B2"/>
    <w:rsid w:val="008779C9"/>
    <w:rsid w:val="00877FB5"/>
    <w:rsid w:val="00886415"/>
    <w:rsid w:val="00891A9C"/>
    <w:rsid w:val="00891B6F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C6AF6"/>
    <w:rsid w:val="008D3F30"/>
    <w:rsid w:val="008E0EDA"/>
    <w:rsid w:val="008E252B"/>
    <w:rsid w:val="008E6E93"/>
    <w:rsid w:val="008F44CC"/>
    <w:rsid w:val="008F5A10"/>
    <w:rsid w:val="00901AD9"/>
    <w:rsid w:val="009079F7"/>
    <w:rsid w:val="009140B3"/>
    <w:rsid w:val="00914822"/>
    <w:rsid w:val="009208B0"/>
    <w:rsid w:val="00921EA9"/>
    <w:rsid w:val="00922FCD"/>
    <w:rsid w:val="00923462"/>
    <w:rsid w:val="00924E43"/>
    <w:rsid w:val="00925FF0"/>
    <w:rsid w:val="0093120C"/>
    <w:rsid w:val="009422E1"/>
    <w:rsid w:val="009447A0"/>
    <w:rsid w:val="00945101"/>
    <w:rsid w:val="00947840"/>
    <w:rsid w:val="00961659"/>
    <w:rsid w:val="00962201"/>
    <w:rsid w:val="00963A4E"/>
    <w:rsid w:val="00975265"/>
    <w:rsid w:val="009758A4"/>
    <w:rsid w:val="00976B0E"/>
    <w:rsid w:val="00976DF2"/>
    <w:rsid w:val="00980E8E"/>
    <w:rsid w:val="0098647D"/>
    <w:rsid w:val="009869A9"/>
    <w:rsid w:val="00990B1D"/>
    <w:rsid w:val="009914E7"/>
    <w:rsid w:val="00992AE8"/>
    <w:rsid w:val="009A3525"/>
    <w:rsid w:val="009A3990"/>
    <w:rsid w:val="009A5162"/>
    <w:rsid w:val="009A5D1D"/>
    <w:rsid w:val="009B1B6C"/>
    <w:rsid w:val="009B344F"/>
    <w:rsid w:val="009B3457"/>
    <w:rsid w:val="009B555F"/>
    <w:rsid w:val="009B6A27"/>
    <w:rsid w:val="009C30B2"/>
    <w:rsid w:val="009C3944"/>
    <w:rsid w:val="009C6384"/>
    <w:rsid w:val="009C67C0"/>
    <w:rsid w:val="009C7131"/>
    <w:rsid w:val="009D092A"/>
    <w:rsid w:val="009D2C38"/>
    <w:rsid w:val="009D5116"/>
    <w:rsid w:val="009D5504"/>
    <w:rsid w:val="009D77FD"/>
    <w:rsid w:val="009D7FCD"/>
    <w:rsid w:val="009E019E"/>
    <w:rsid w:val="009E25A0"/>
    <w:rsid w:val="009E2F4A"/>
    <w:rsid w:val="009E7D90"/>
    <w:rsid w:val="009F1A2C"/>
    <w:rsid w:val="009F5CAD"/>
    <w:rsid w:val="009F619E"/>
    <w:rsid w:val="009F7692"/>
    <w:rsid w:val="009F7DCC"/>
    <w:rsid w:val="00A008E6"/>
    <w:rsid w:val="00A00D4F"/>
    <w:rsid w:val="00A028B1"/>
    <w:rsid w:val="00A031F6"/>
    <w:rsid w:val="00A052E6"/>
    <w:rsid w:val="00A07710"/>
    <w:rsid w:val="00A111E1"/>
    <w:rsid w:val="00A153BF"/>
    <w:rsid w:val="00A221F3"/>
    <w:rsid w:val="00A22CE7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516E7"/>
    <w:rsid w:val="00A51EFF"/>
    <w:rsid w:val="00A54714"/>
    <w:rsid w:val="00A560FE"/>
    <w:rsid w:val="00A60666"/>
    <w:rsid w:val="00A7412A"/>
    <w:rsid w:val="00A74E1B"/>
    <w:rsid w:val="00A755FF"/>
    <w:rsid w:val="00A816AB"/>
    <w:rsid w:val="00A84327"/>
    <w:rsid w:val="00A92511"/>
    <w:rsid w:val="00A92C6C"/>
    <w:rsid w:val="00A92CC2"/>
    <w:rsid w:val="00A93A1C"/>
    <w:rsid w:val="00A9520D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664C"/>
    <w:rsid w:val="00AC68D3"/>
    <w:rsid w:val="00AD5320"/>
    <w:rsid w:val="00AD714D"/>
    <w:rsid w:val="00AE144F"/>
    <w:rsid w:val="00AE5F70"/>
    <w:rsid w:val="00AE6E69"/>
    <w:rsid w:val="00AF2073"/>
    <w:rsid w:val="00AF24B7"/>
    <w:rsid w:val="00AF4B45"/>
    <w:rsid w:val="00AF7968"/>
    <w:rsid w:val="00B054EF"/>
    <w:rsid w:val="00B058BF"/>
    <w:rsid w:val="00B0648D"/>
    <w:rsid w:val="00B12015"/>
    <w:rsid w:val="00B14A35"/>
    <w:rsid w:val="00B14C0D"/>
    <w:rsid w:val="00B15BCC"/>
    <w:rsid w:val="00B16061"/>
    <w:rsid w:val="00B23960"/>
    <w:rsid w:val="00B3074C"/>
    <w:rsid w:val="00B33DFA"/>
    <w:rsid w:val="00B3412D"/>
    <w:rsid w:val="00B35279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1687"/>
    <w:rsid w:val="00B82A64"/>
    <w:rsid w:val="00B8351E"/>
    <w:rsid w:val="00B8378A"/>
    <w:rsid w:val="00B83AAE"/>
    <w:rsid w:val="00B8490C"/>
    <w:rsid w:val="00B90B66"/>
    <w:rsid w:val="00B94720"/>
    <w:rsid w:val="00B968EE"/>
    <w:rsid w:val="00B96934"/>
    <w:rsid w:val="00BA00AC"/>
    <w:rsid w:val="00BA0B42"/>
    <w:rsid w:val="00BA4A1D"/>
    <w:rsid w:val="00BA4A4E"/>
    <w:rsid w:val="00BB0D5B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C716A"/>
    <w:rsid w:val="00BD2196"/>
    <w:rsid w:val="00BD4CBC"/>
    <w:rsid w:val="00BD51E8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4C1"/>
    <w:rsid w:val="00C1560F"/>
    <w:rsid w:val="00C15B4A"/>
    <w:rsid w:val="00C15C40"/>
    <w:rsid w:val="00C20D04"/>
    <w:rsid w:val="00C212A5"/>
    <w:rsid w:val="00C21D1C"/>
    <w:rsid w:val="00C261E2"/>
    <w:rsid w:val="00C3263D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56497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90558"/>
    <w:rsid w:val="00CA13B6"/>
    <w:rsid w:val="00CA3660"/>
    <w:rsid w:val="00CA72DB"/>
    <w:rsid w:val="00CB4143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E1CEE"/>
    <w:rsid w:val="00CE2344"/>
    <w:rsid w:val="00CE2843"/>
    <w:rsid w:val="00CE35FE"/>
    <w:rsid w:val="00CE4D46"/>
    <w:rsid w:val="00CE664D"/>
    <w:rsid w:val="00CE7DCA"/>
    <w:rsid w:val="00CF0108"/>
    <w:rsid w:val="00CF0DB8"/>
    <w:rsid w:val="00CF20D2"/>
    <w:rsid w:val="00CF263F"/>
    <w:rsid w:val="00CF3952"/>
    <w:rsid w:val="00CF7814"/>
    <w:rsid w:val="00D03026"/>
    <w:rsid w:val="00D034C4"/>
    <w:rsid w:val="00D03669"/>
    <w:rsid w:val="00D061B9"/>
    <w:rsid w:val="00D06B1A"/>
    <w:rsid w:val="00D11E9C"/>
    <w:rsid w:val="00D2329B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61231"/>
    <w:rsid w:val="00D63CC6"/>
    <w:rsid w:val="00D64148"/>
    <w:rsid w:val="00D65630"/>
    <w:rsid w:val="00D70957"/>
    <w:rsid w:val="00D70F4E"/>
    <w:rsid w:val="00D718BE"/>
    <w:rsid w:val="00D73D01"/>
    <w:rsid w:val="00D8279A"/>
    <w:rsid w:val="00D82D25"/>
    <w:rsid w:val="00D82D27"/>
    <w:rsid w:val="00D83A15"/>
    <w:rsid w:val="00D840EC"/>
    <w:rsid w:val="00D84EC7"/>
    <w:rsid w:val="00D8603E"/>
    <w:rsid w:val="00D86D70"/>
    <w:rsid w:val="00D86E06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D3B45"/>
    <w:rsid w:val="00DD55C9"/>
    <w:rsid w:val="00DD6453"/>
    <w:rsid w:val="00DD7953"/>
    <w:rsid w:val="00DE28F8"/>
    <w:rsid w:val="00DF357D"/>
    <w:rsid w:val="00E01049"/>
    <w:rsid w:val="00E019FA"/>
    <w:rsid w:val="00E03790"/>
    <w:rsid w:val="00E040F6"/>
    <w:rsid w:val="00E06F1E"/>
    <w:rsid w:val="00E07708"/>
    <w:rsid w:val="00E15401"/>
    <w:rsid w:val="00E211E7"/>
    <w:rsid w:val="00E24214"/>
    <w:rsid w:val="00E256D1"/>
    <w:rsid w:val="00E30996"/>
    <w:rsid w:val="00E31921"/>
    <w:rsid w:val="00E350ED"/>
    <w:rsid w:val="00E3757E"/>
    <w:rsid w:val="00E41406"/>
    <w:rsid w:val="00E52FDC"/>
    <w:rsid w:val="00E574C9"/>
    <w:rsid w:val="00E62941"/>
    <w:rsid w:val="00E63C44"/>
    <w:rsid w:val="00E654DC"/>
    <w:rsid w:val="00E65BC8"/>
    <w:rsid w:val="00E671D0"/>
    <w:rsid w:val="00E746AB"/>
    <w:rsid w:val="00E74F22"/>
    <w:rsid w:val="00E8182F"/>
    <w:rsid w:val="00E90220"/>
    <w:rsid w:val="00E91C5F"/>
    <w:rsid w:val="00E9292C"/>
    <w:rsid w:val="00E9344C"/>
    <w:rsid w:val="00E962E4"/>
    <w:rsid w:val="00EA1A65"/>
    <w:rsid w:val="00EA36E3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2EFB"/>
    <w:rsid w:val="00EC37AB"/>
    <w:rsid w:val="00ED128C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14968"/>
    <w:rsid w:val="00F27878"/>
    <w:rsid w:val="00F361CF"/>
    <w:rsid w:val="00F417BE"/>
    <w:rsid w:val="00F41E39"/>
    <w:rsid w:val="00F42DB4"/>
    <w:rsid w:val="00F45998"/>
    <w:rsid w:val="00F46516"/>
    <w:rsid w:val="00F51E27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86AB1"/>
    <w:rsid w:val="00F9548F"/>
    <w:rsid w:val="00FA1C98"/>
    <w:rsid w:val="00FA2E22"/>
    <w:rsid w:val="00FA64CE"/>
    <w:rsid w:val="00FB5D14"/>
    <w:rsid w:val="00FC1330"/>
    <w:rsid w:val="00FC272B"/>
    <w:rsid w:val="00FC64C6"/>
    <w:rsid w:val="00FC707F"/>
    <w:rsid w:val="00FD1129"/>
    <w:rsid w:val="00FD4B63"/>
    <w:rsid w:val="00FD7B3B"/>
    <w:rsid w:val="00FE42B3"/>
    <w:rsid w:val="00FE675B"/>
    <w:rsid w:val="00FE7144"/>
    <w:rsid w:val="00FE73E0"/>
    <w:rsid w:val="00FE73E7"/>
    <w:rsid w:val="00FF0532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A58529EC8CE0CE9F361194AB29FD6D2A8CCE9C48D2E9A6204B381D01244D07931C2ECEF35B67D4F9CDAEB50477BCBB9E2C48283A59E3DFV0d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10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4" Type="http://schemas.openxmlformats.org/officeDocument/2006/relationships/hyperlink" Target="consultantplus://offline/ref=EEA58529EC8CE0CE9F361194AB29FD6D2A8CCE9C48D2E9A6204B381D01244D07931C2ECBF75A67DDAA97BEB14D23B1A49E36562E245AVE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9288-88B9-4427-98A2-41F83C91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14</Pages>
  <Words>5094</Words>
  <Characters>29041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320</cp:revision>
  <cp:lastPrinted>2024-05-24T09:57:00Z</cp:lastPrinted>
  <dcterms:created xsi:type="dcterms:W3CDTF">2018-08-17T10:08:00Z</dcterms:created>
  <dcterms:modified xsi:type="dcterms:W3CDTF">2024-05-27T04:21:00Z</dcterms:modified>
</cp:coreProperties>
</file>