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C846B4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C846B4" w:rsidRDefault="00B75DCF" w:rsidP="00740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отчетности</w:t>
      </w:r>
      <w:r w:rsidR="00C846B4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C846B4" w:rsidRDefault="00B75DCF" w:rsidP="00BA34CF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средств</w:t>
      </w:r>
      <w:r w:rsidR="00C846B4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образования</w:t>
      </w:r>
      <w:r w:rsidR="00740C12" w:rsidRPr="00BA3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C846B4" w:rsidRDefault="00740C12" w:rsidP="00BA34CF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</w:t>
      </w:r>
      <w:r w:rsidR="00C84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Пермского края</w:t>
      </w:r>
    </w:p>
    <w:p w:rsidR="00B75DCF" w:rsidRPr="00740C12" w:rsidRDefault="00B75DCF" w:rsidP="00BA34C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7D565C">
        <w:rPr>
          <w:rFonts w:ascii="Times New Roman" w:hAnsi="Times New Roman"/>
          <w:b/>
          <w:sz w:val="28"/>
          <w:szCs w:val="28"/>
        </w:rPr>
        <w:t>3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846B4" w:rsidRPr="00B15BCC" w:rsidRDefault="00C846B4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040D64">
        <w:rPr>
          <w:rFonts w:ascii="Times New Roman" w:hAnsi="Times New Roman"/>
          <w:sz w:val="28"/>
          <w:szCs w:val="28"/>
        </w:rPr>
        <w:t>27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040D64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7D565C">
        <w:rPr>
          <w:rFonts w:ascii="Times New Roman" w:hAnsi="Times New Roman"/>
          <w:sz w:val="28"/>
          <w:szCs w:val="28"/>
        </w:rPr>
        <w:t>4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040D64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040D64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7D565C" w:rsidRPr="00BA34CF" w:rsidRDefault="001B7F56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24887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24887" w:rsidRPr="00BA34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 на 202</w:t>
      </w:r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0CB7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660CFC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BA34CF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BA3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BA34CF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 w:rsidRPr="00BA34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 Суксунского городского округа Пермского края </w:t>
      </w:r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>от 11.04.2024 № 12 «О проведении внешней проверки бюджетной отчетности У</w:t>
      </w:r>
      <w:r w:rsidR="00BA34CF" w:rsidRPr="00BA34CF">
        <w:rPr>
          <w:rFonts w:ascii="Times New Roman" w:eastAsia="Times New Roman" w:hAnsi="Times New Roman"/>
          <w:sz w:val="28"/>
          <w:szCs w:val="28"/>
          <w:lang w:eastAsia="ru-RU"/>
        </w:rPr>
        <w:t>ОА</w:t>
      </w:r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за 2023 год» проведено контрольное мер</w:t>
      </w:r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>приятие проверка бюджетной отчетности главного администратора бюджетных средств Управления образования Администрации Суксунского городского округа Пермского</w:t>
      </w:r>
      <w:proofErr w:type="gramEnd"/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(далее – Управление образования</w:t>
      </w:r>
      <w:r w:rsidR="00BA34CF" w:rsidRPr="00BA34CF">
        <w:rPr>
          <w:rFonts w:ascii="Times New Roman" w:eastAsia="Times New Roman" w:hAnsi="Times New Roman"/>
          <w:sz w:val="28"/>
          <w:szCs w:val="28"/>
          <w:lang w:eastAsia="ru-RU"/>
        </w:rPr>
        <w:t>, УОА Суксунского городского округа</w:t>
      </w:r>
      <w:r w:rsidR="007D565C" w:rsidRPr="00BA34CF">
        <w:rPr>
          <w:rFonts w:ascii="Times New Roman" w:eastAsia="Times New Roman" w:hAnsi="Times New Roman"/>
          <w:sz w:val="28"/>
          <w:szCs w:val="28"/>
          <w:lang w:eastAsia="ru-RU"/>
        </w:rPr>
        <w:t>) за 2023 год.</w:t>
      </w:r>
    </w:p>
    <w:p w:rsidR="00CB1730" w:rsidRPr="00BA34CF" w:rsidRDefault="00CB1730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Pr="00C846B4" w:rsidRDefault="00B8161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46B4">
        <w:rPr>
          <w:rFonts w:ascii="Times New Roman" w:hAnsi="Times New Roman"/>
          <w:b/>
          <w:i/>
          <w:sz w:val="28"/>
          <w:szCs w:val="28"/>
        </w:rPr>
        <w:t>Цел</w:t>
      </w:r>
      <w:r w:rsidR="003E4E33" w:rsidRPr="00C846B4">
        <w:rPr>
          <w:rFonts w:ascii="Times New Roman" w:hAnsi="Times New Roman"/>
          <w:b/>
          <w:i/>
          <w:sz w:val="28"/>
          <w:szCs w:val="28"/>
        </w:rPr>
        <w:t>ь</w:t>
      </w:r>
      <w:r w:rsidR="00C846B4" w:rsidRPr="00C846B4">
        <w:rPr>
          <w:rFonts w:ascii="Times New Roman" w:hAnsi="Times New Roman"/>
          <w:b/>
          <w:i/>
          <w:sz w:val="28"/>
          <w:szCs w:val="28"/>
        </w:rPr>
        <w:t xml:space="preserve"> контрольного мероприятия</w:t>
      </w:r>
    </w:p>
    <w:p w:rsidR="00BA34CF" w:rsidRPr="00BA34CF" w:rsidRDefault="00BA34CF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E61" w:rsidRPr="00BA34CF" w:rsidRDefault="003F5E61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 </w:t>
      </w:r>
      <w:proofErr w:type="gramStart"/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2023 год, ее соо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ции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от 31.07.1998 № 145-ФЗ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– БК РФ), Инструкции о порядке составления и представления годовой, квартальной и месячной отчетности об исполнении бю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жетов бюджетной системы Российской Федерации, утвержденной приказом Мин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стерства финансов Российской Федерации от 28.12.2010 № 191н «Об утверждении Инструкции о порядке составления и представления годовой</w:t>
      </w:r>
      <w:proofErr w:type="gramEnd"/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квартальной и меся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ной отчетности об исполнении бюджетов бюджетной системы Российской Федер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ции» (далее – Инструкция № 191н), по составу и содержанию.</w:t>
      </w:r>
    </w:p>
    <w:p w:rsidR="003F5E61" w:rsidRPr="00BA34CF" w:rsidRDefault="003F5E61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3F5E61" w:rsidRPr="00BA34CF" w:rsidRDefault="003F5E61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2023 год.</w:t>
      </w:r>
    </w:p>
    <w:p w:rsidR="003F5E61" w:rsidRPr="00BA34CF" w:rsidRDefault="003F5E61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E61" w:rsidRPr="00BA34CF" w:rsidRDefault="003F5E61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Управления образования проводилась на выборочной основе с применением принципа сущ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ственности и включала в себя анализ, сопоставление и оценку годовой бюдже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ной отчетности ГАБС, данных Финансового управления Администрации Суксу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 об исполнении бюджета и других мат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риалов.</w:t>
      </w:r>
    </w:p>
    <w:p w:rsidR="006E0DA3" w:rsidRPr="00BA34CF" w:rsidRDefault="006E0DA3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Pr="00C846B4" w:rsidRDefault="00283D91" w:rsidP="00BA34CF">
      <w:pPr>
        <w:pStyle w:val="21"/>
        <w:widowControl w:val="0"/>
        <w:ind w:firstLine="709"/>
        <w:rPr>
          <w:b/>
          <w:i/>
        </w:rPr>
      </w:pPr>
      <w:r w:rsidRPr="00C846B4">
        <w:rPr>
          <w:b/>
          <w:i/>
        </w:rPr>
        <w:t>Краткая информация об о</w:t>
      </w:r>
      <w:r w:rsidR="00C846B4">
        <w:rPr>
          <w:b/>
          <w:i/>
        </w:rPr>
        <w:t>бъекте контрольного мероприятия</w:t>
      </w:r>
    </w:p>
    <w:p w:rsidR="00BC3BD3" w:rsidRPr="00BA34CF" w:rsidRDefault="00BC3BD3" w:rsidP="00BA34CF">
      <w:pPr>
        <w:pStyle w:val="21"/>
        <w:widowControl w:val="0"/>
        <w:ind w:firstLine="709"/>
        <w:rPr>
          <w:b/>
        </w:rPr>
      </w:pP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Суксунского городского округа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Пермского края является отраслевым (функциональным) органом Администрации Суксунского городского округа Пермского края, обеспечивающим исполнение на территории Суксунского городского округа муниципальных функций и ос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ществляющим оказание муниципальных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осуществляет полномочия учр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дителя муниципальных учреждений образования Суксунского городского округа.</w:t>
      </w:r>
      <w:proofErr w:type="gramEnd"/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осуществляет свою деятельность на основании Положения об Управлении образования Администрации Суксунского городского округа, утвержденного решением Думы Суксунского городского округа от 19.12.2019 № 67 «Об учреждении Управления образования Администрации Су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BA34CF">
        <w:rPr>
          <w:rFonts w:ascii="Times New Roman" w:eastAsiaTheme="minorHAnsi" w:hAnsi="Times New Roman"/>
          <w:sz w:val="28"/>
          <w:szCs w:val="28"/>
        </w:rPr>
        <w:t>и</w:t>
      </w:r>
      <w:r w:rsidRPr="00BA34CF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образования Администрации Су</w:t>
      </w:r>
      <w:r w:rsidRPr="00BA34CF">
        <w:rPr>
          <w:rFonts w:ascii="Times New Roman" w:eastAsiaTheme="minorHAnsi" w:hAnsi="Times New Roman"/>
          <w:sz w:val="28"/>
          <w:szCs w:val="28"/>
        </w:rPr>
        <w:t>к</w:t>
      </w:r>
      <w:r w:rsidRPr="00BA34CF">
        <w:rPr>
          <w:rFonts w:ascii="Times New Roman" w:eastAsiaTheme="minorHAnsi" w:hAnsi="Times New Roman"/>
          <w:sz w:val="28"/>
          <w:szCs w:val="28"/>
        </w:rPr>
        <w:t>сунского городского округа Пермского края зарегистрировано в Едином госуда</w:t>
      </w:r>
      <w:r w:rsidRPr="00BA34CF">
        <w:rPr>
          <w:rFonts w:ascii="Times New Roman" w:eastAsiaTheme="minorHAnsi" w:hAnsi="Times New Roman"/>
          <w:sz w:val="28"/>
          <w:szCs w:val="28"/>
        </w:rPr>
        <w:t>р</w:t>
      </w:r>
      <w:r w:rsidRPr="00BA34CF">
        <w:rPr>
          <w:rFonts w:ascii="Times New Roman" w:eastAsiaTheme="minorHAnsi" w:hAnsi="Times New Roman"/>
          <w:sz w:val="28"/>
          <w:szCs w:val="28"/>
        </w:rPr>
        <w:t>ственном реестре юридических лиц 27.12.2019 за основным государственным р</w:t>
      </w:r>
      <w:r w:rsidRPr="00BA34CF">
        <w:rPr>
          <w:rFonts w:ascii="Times New Roman" w:eastAsiaTheme="minorHAnsi" w:hAnsi="Times New Roman"/>
          <w:sz w:val="28"/>
          <w:szCs w:val="28"/>
        </w:rPr>
        <w:t>е</w:t>
      </w:r>
      <w:r w:rsidRPr="00BA34CF">
        <w:rPr>
          <w:rFonts w:ascii="Times New Roman" w:eastAsiaTheme="minorHAnsi" w:hAnsi="Times New Roman"/>
          <w:sz w:val="28"/>
          <w:szCs w:val="28"/>
        </w:rPr>
        <w:t xml:space="preserve">гистрационным номером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1195958043192</w:t>
      </w:r>
      <w:r w:rsidRPr="00BA34CF">
        <w:rPr>
          <w:rFonts w:ascii="Times New Roman" w:eastAsiaTheme="minorHAnsi" w:hAnsi="Times New Roman"/>
          <w:sz w:val="28"/>
          <w:szCs w:val="28"/>
        </w:rPr>
        <w:t>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5917005827</w:t>
      </w:r>
      <w:r w:rsidRPr="00BA34CF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BA34CF">
        <w:rPr>
          <w:rFonts w:ascii="Times New Roman" w:eastAsiaTheme="minorHAnsi" w:hAnsi="Times New Roman"/>
          <w:sz w:val="28"/>
          <w:szCs w:val="28"/>
        </w:rPr>
        <w:t>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Управление образования Администрации Суксу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УОА Суксунского городского округа.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Колхозная, 2.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Управление образования является юридическим лицом, имеет самосто</w:t>
      </w:r>
      <w:r w:rsidRPr="00BA34CF">
        <w:rPr>
          <w:rFonts w:ascii="Times New Roman" w:hAnsi="Times New Roman"/>
          <w:sz w:val="28"/>
          <w:szCs w:val="28"/>
        </w:rPr>
        <w:t>я</w:t>
      </w:r>
      <w:r w:rsidRPr="00BA34CF">
        <w:rPr>
          <w:rFonts w:ascii="Times New Roman" w:hAnsi="Times New Roman"/>
          <w:sz w:val="28"/>
          <w:szCs w:val="28"/>
        </w:rPr>
        <w:t>тельный баланс, лицевой счет, открытый в установленном порядке в Финансовом управлении Администрации Суксунского городского округа Пермского края, п</w:t>
      </w:r>
      <w:r w:rsidRPr="00BA34CF">
        <w:rPr>
          <w:rFonts w:ascii="Times New Roman" w:hAnsi="Times New Roman"/>
          <w:sz w:val="28"/>
          <w:szCs w:val="28"/>
        </w:rPr>
        <w:t>е</w:t>
      </w:r>
      <w:r w:rsidRPr="00BA34CF">
        <w:rPr>
          <w:rFonts w:ascii="Times New Roman" w:hAnsi="Times New Roman"/>
          <w:sz w:val="28"/>
          <w:szCs w:val="28"/>
        </w:rPr>
        <w:t>чать установленного образца, бланки, штамп со своим наименованием.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Касса для выдачи  наличных денежных средств в учреждении отсутствует, все расчеты осуществляются в безналичном порядке.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Финансирование учреждения осуществляется за счет средств местного бюджета, направленных на содержание исполнительных органов  Суксунского городского округа, а также получает субсидии и межбюджетные трансферты из Федерального бюджета и бюджета Пермского края.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D15F9C" w:rsidRPr="00BA34CF" w:rsidRDefault="00D15F9C" w:rsidP="00B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BA34C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Учредителем Управления образования является Суксунский городской округ.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A34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Функции и полномочия учредителя в отношении Управления образования осуществляются Администрацией Суксунского городского округа Пермского края.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34CF">
        <w:rPr>
          <w:rFonts w:ascii="Times New Roman" w:hAnsi="Times New Roman"/>
          <w:sz w:val="28"/>
          <w:szCs w:val="28"/>
        </w:rPr>
        <w:t>Управление образования обладает обособленным имуществом, закрепле</w:t>
      </w:r>
      <w:r w:rsidRPr="00BA34CF">
        <w:rPr>
          <w:rFonts w:ascii="Times New Roman" w:hAnsi="Times New Roman"/>
          <w:sz w:val="28"/>
          <w:szCs w:val="28"/>
        </w:rPr>
        <w:t>н</w:t>
      </w:r>
      <w:r w:rsidRPr="00BA34CF">
        <w:rPr>
          <w:rFonts w:ascii="Times New Roman" w:hAnsi="Times New Roman"/>
          <w:sz w:val="28"/>
          <w:szCs w:val="28"/>
        </w:rPr>
        <w:t>ным за ним на праве оперативного управления.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Управление образования от своего имени может приобретать и осущест</w:t>
      </w:r>
      <w:r w:rsidRPr="00BA34CF">
        <w:rPr>
          <w:rFonts w:ascii="Times New Roman" w:hAnsi="Times New Roman"/>
          <w:sz w:val="28"/>
          <w:szCs w:val="28"/>
        </w:rPr>
        <w:t>в</w:t>
      </w:r>
      <w:r w:rsidRPr="00BA34CF">
        <w:rPr>
          <w:rFonts w:ascii="Times New Roman" w:hAnsi="Times New Roman"/>
          <w:sz w:val="28"/>
          <w:szCs w:val="28"/>
        </w:rPr>
        <w:t>лять имущественные и неимущественные права, нести обязанность, быть истцом и ответчиком в суде. Вправе совершать любые сделки в пределах специальной правоспособности казенного учреждения.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lastRenderedPageBreak/>
        <w:t>Основные задачи Управления образования: разработка муниципальных пр</w:t>
      </w:r>
      <w:r w:rsidRPr="00BA34CF">
        <w:rPr>
          <w:rFonts w:ascii="Times New Roman" w:hAnsi="Times New Roman"/>
          <w:sz w:val="28"/>
          <w:szCs w:val="28"/>
        </w:rPr>
        <w:t>о</w:t>
      </w:r>
      <w:r w:rsidRPr="00BA34CF">
        <w:rPr>
          <w:rFonts w:ascii="Times New Roman" w:hAnsi="Times New Roman"/>
          <w:sz w:val="28"/>
          <w:szCs w:val="28"/>
        </w:rPr>
        <w:t>грамм, обеспечение прав граждан на получение общедоступного и качественного образования, реализация кадровой политики в сфере образования, осуществление функций учредителя муниципальных образовательных организаций, обеспечение выполнения муниципального задания образовательными организациями в соо</w:t>
      </w:r>
      <w:r w:rsidRPr="00BA34CF">
        <w:rPr>
          <w:rFonts w:ascii="Times New Roman" w:hAnsi="Times New Roman"/>
          <w:sz w:val="28"/>
          <w:szCs w:val="28"/>
        </w:rPr>
        <w:t>т</w:t>
      </w:r>
      <w:r w:rsidRPr="00BA34CF">
        <w:rPr>
          <w:rFonts w:ascii="Times New Roman" w:hAnsi="Times New Roman"/>
          <w:sz w:val="28"/>
          <w:szCs w:val="28"/>
        </w:rPr>
        <w:t>ветствии с требованиями, создание услови</w:t>
      </w:r>
      <w:r w:rsidR="00BA34CF" w:rsidRPr="00BA34CF">
        <w:rPr>
          <w:rFonts w:ascii="Times New Roman" w:hAnsi="Times New Roman"/>
          <w:sz w:val="28"/>
          <w:szCs w:val="28"/>
        </w:rPr>
        <w:t>й для организации отдыха детей.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 имеет четырнадцать подведомственных муниц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пальных учреждений, в том числе одно бюджетное учреждение и тринадцать а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тономных учреждений.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в проверяемом периоде является начальник Управления образования Администрации Суксунск</w:t>
      </w:r>
      <w:r w:rsidRPr="00BA34CF">
        <w:rPr>
          <w:rFonts w:ascii="Times New Roman" w:hAnsi="Times New Roman"/>
          <w:sz w:val="28"/>
          <w:szCs w:val="28"/>
        </w:rPr>
        <w:t>о</w:t>
      </w:r>
      <w:r w:rsidRPr="00BA34CF">
        <w:rPr>
          <w:rFonts w:ascii="Times New Roman" w:hAnsi="Times New Roman"/>
          <w:sz w:val="28"/>
          <w:szCs w:val="28"/>
        </w:rPr>
        <w:t>го городского округа Пермского края Петухов Владимир Владимирович, назн</w:t>
      </w:r>
      <w:r w:rsidRPr="00BA34CF">
        <w:rPr>
          <w:rFonts w:ascii="Times New Roman" w:hAnsi="Times New Roman"/>
          <w:sz w:val="28"/>
          <w:szCs w:val="28"/>
        </w:rPr>
        <w:t>а</w:t>
      </w:r>
      <w:r w:rsidRPr="00BA34CF">
        <w:rPr>
          <w:rFonts w:ascii="Times New Roman" w:hAnsi="Times New Roman"/>
          <w:sz w:val="28"/>
          <w:szCs w:val="28"/>
        </w:rPr>
        <w:t>ченный на должность распоряжением Администрации Суксунского городского округа Пермского края от 02.12.2020 № 63-л «О приеме на муниципальную слу</w:t>
      </w:r>
      <w:r w:rsidRPr="00BA34CF">
        <w:rPr>
          <w:rFonts w:ascii="Times New Roman" w:hAnsi="Times New Roman"/>
          <w:sz w:val="28"/>
          <w:szCs w:val="28"/>
        </w:rPr>
        <w:t>ж</w:t>
      </w:r>
      <w:r w:rsidRPr="00BA34CF">
        <w:rPr>
          <w:rFonts w:ascii="Times New Roman" w:hAnsi="Times New Roman"/>
          <w:sz w:val="28"/>
          <w:szCs w:val="28"/>
        </w:rPr>
        <w:t>бу и назначении на должность муниципальной службы Петухова В.В.».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4CF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BA34CF">
        <w:rPr>
          <w:rFonts w:ascii="Times New Roman" w:hAnsi="Times New Roman"/>
          <w:sz w:val="28"/>
          <w:szCs w:val="28"/>
        </w:rPr>
        <w:t>е</w:t>
      </w:r>
      <w:r w:rsidRPr="00BA34CF">
        <w:rPr>
          <w:rFonts w:ascii="Times New Roman" w:hAnsi="Times New Roman"/>
          <w:sz w:val="28"/>
          <w:szCs w:val="28"/>
        </w:rPr>
        <w:t>рального закона от 06.12.2011 № 402-ФЗ «О бухгалтерском учете» (далее – Фед</w:t>
      </w:r>
      <w:r w:rsidRPr="00BA34CF">
        <w:rPr>
          <w:rFonts w:ascii="Times New Roman" w:hAnsi="Times New Roman"/>
          <w:sz w:val="28"/>
          <w:szCs w:val="28"/>
        </w:rPr>
        <w:t>е</w:t>
      </w:r>
      <w:r w:rsidRPr="00BA34CF">
        <w:rPr>
          <w:rFonts w:ascii="Times New Roman" w:hAnsi="Times New Roman"/>
          <w:sz w:val="28"/>
          <w:szCs w:val="28"/>
        </w:rPr>
        <w:t>ральный закон о бухгалтерском учете), Управлением образования заключено с МКУ «ЦБ Суксунского городского округа» Соглашение от 13.01.2020 № 5 об ок</w:t>
      </w:r>
      <w:r w:rsidRPr="00BA34CF">
        <w:rPr>
          <w:rFonts w:ascii="Times New Roman" w:hAnsi="Times New Roman"/>
          <w:sz w:val="28"/>
          <w:szCs w:val="28"/>
        </w:rPr>
        <w:t>а</w:t>
      </w:r>
      <w:r w:rsidRPr="00BA34CF">
        <w:rPr>
          <w:rFonts w:ascii="Times New Roman" w:hAnsi="Times New Roman"/>
          <w:sz w:val="28"/>
          <w:szCs w:val="28"/>
        </w:rPr>
        <w:t>зании услуг по ведению бюджетного, налогового, статистического учета, план</w:t>
      </w:r>
      <w:r w:rsidRPr="00BA34CF">
        <w:rPr>
          <w:rFonts w:ascii="Times New Roman" w:hAnsi="Times New Roman"/>
          <w:sz w:val="28"/>
          <w:szCs w:val="28"/>
        </w:rPr>
        <w:t>и</w:t>
      </w:r>
      <w:r w:rsidRPr="00BA34CF">
        <w:rPr>
          <w:rFonts w:ascii="Times New Roman" w:hAnsi="Times New Roman"/>
          <w:sz w:val="28"/>
          <w:szCs w:val="28"/>
        </w:rPr>
        <w:t>рования бюджетной сметы и составления отчетности.</w:t>
      </w:r>
      <w:proofErr w:type="gramEnd"/>
      <w:r w:rsidRPr="00BA34CF">
        <w:rPr>
          <w:rFonts w:ascii="Times New Roman" w:hAnsi="Times New Roman"/>
          <w:sz w:val="28"/>
          <w:szCs w:val="28"/>
        </w:rPr>
        <w:t xml:space="preserve"> МКУ «ЦБ Суксунского г</w:t>
      </w:r>
      <w:r w:rsidRPr="00BA34CF">
        <w:rPr>
          <w:rFonts w:ascii="Times New Roman" w:hAnsi="Times New Roman"/>
          <w:sz w:val="28"/>
          <w:szCs w:val="28"/>
        </w:rPr>
        <w:t>о</w:t>
      </w:r>
      <w:r w:rsidRPr="00BA34CF">
        <w:rPr>
          <w:rFonts w:ascii="Times New Roman" w:hAnsi="Times New Roman"/>
          <w:sz w:val="28"/>
          <w:szCs w:val="28"/>
        </w:rPr>
        <w:t>родского округа» соответствует требованиям части 6 статьи 7 Федерального зак</w:t>
      </w:r>
      <w:r w:rsidRPr="00BA34CF">
        <w:rPr>
          <w:rFonts w:ascii="Times New Roman" w:hAnsi="Times New Roman"/>
          <w:sz w:val="28"/>
          <w:szCs w:val="28"/>
        </w:rPr>
        <w:t>о</w:t>
      </w:r>
      <w:r w:rsidRPr="00BA34CF">
        <w:rPr>
          <w:rFonts w:ascii="Times New Roman" w:hAnsi="Times New Roman"/>
          <w:sz w:val="28"/>
          <w:szCs w:val="28"/>
        </w:rPr>
        <w:t>на о бухгалтерском учете.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4CF">
        <w:rPr>
          <w:rFonts w:ascii="Times New Roman" w:hAnsi="Times New Roman"/>
          <w:sz w:val="28"/>
          <w:szCs w:val="28"/>
        </w:rPr>
        <w:t>Бюджетный учет в учреждении ведется в соответствии с Федеральным  з</w:t>
      </w:r>
      <w:r w:rsidRPr="00BA34CF">
        <w:rPr>
          <w:rFonts w:ascii="Times New Roman" w:hAnsi="Times New Roman"/>
          <w:sz w:val="28"/>
          <w:szCs w:val="28"/>
        </w:rPr>
        <w:t>а</w:t>
      </w:r>
      <w:r w:rsidRPr="00BA34CF">
        <w:rPr>
          <w:rFonts w:ascii="Times New Roman" w:hAnsi="Times New Roman"/>
          <w:sz w:val="28"/>
          <w:szCs w:val="28"/>
        </w:rPr>
        <w:t>коном от 06.12.2011 № 402-ФЗ «О бухгалтерском учете», Положением по единой учетной политике, утвержденным приказом МКУ «ЦБ Суксунского городского округа» от 30.12.2020 № 195 «Об утверждении Положения по единой учетной п</w:t>
      </w:r>
      <w:r w:rsidRPr="00BA34CF">
        <w:rPr>
          <w:rFonts w:ascii="Times New Roman" w:hAnsi="Times New Roman"/>
          <w:sz w:val="28"/>
          <w:szCs w:val="28"/>
        </w:rPr>
        <w:t>о</w:t>
      </w:r>
      <w:r w:rsidRPr="00BA34CF">
        <w:rPr>
          <w:rFonts w:ascii="Times New Roman" w:hAnsi="Times New Roman"/>
          <w:sz w:val="28"/>
          <w:szCs w:val="28"/>
        </w:rPr>
        <w:t>литике органов местного самоуправления, муниципальных, казенных, автоно</w:t>
      </w:r>
      <w:r w:rsidRPr="00BA34CF">
        <w:rPr>
          <w:rFonts w:ascii="Times New Roman" w:hAnsi="Times New Roman"/>
          <w:sz w:val="28"/>
          <w:szCs w:val="28"/>
        </w:rPr>
        <w:t>м</w:t>
      </w:r>
      <w:r w:rsidRPr="00BA34CF">
        <w:rPr>
          <w:rFonts w:ascii="Times New Roman" w:hAnsi="Times New Roman"/>
          <w:sz w:val="28"/>
          <w:szCs w:val="28"/>
        </w:rPr>
        <w:t xml:space="preserve">ных и бюджетных учреждений Суксунского городского округа» с последующими изменениями и дополнениями, федеральными стандартами и иными </w:t>
      </w:r>
      <w:r w:rsidR="00BA34CF" w:rsidRPr="00BA34CF">
        <w:rPr>
          <w:rFonts w:ascii="Times New Roman" w:hAnsi="Times New Roman"/>
          <w:sz w:val="28"/>
          <w:szCs w:val="28"/>
        </w:rPr>
        <w:t>нормативно-правовыми</w:t>
      </w:r>
      <w:proofErr w:type="gramEnd"/>
      <w:r w:rsidR="00BA34CF" w:rsidRPr="00BA34CF">
        <w:rPr>
          <w:rFonts w:ascii="Times New Roman" w:hAnsi="Times New Roman"/>
          <w:sz w:val="28"/>
          <w:szCs w:val="28"/>
        </w:rPr>
        <w:t xml:space="preserve"> актами.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 xml:space="preserve">Обязанности главного бухгалтера по ведению бюджетного учета возложены на Щелконогову Наталью Юрьевну приказом МКУ «ЦБ Суксунского городского округа» от 29.04.2021 г. № 21 «О назначении ответственных лиц с правом второй подписи в платежных и бухгалтерских документах». </w:t>
      </w:r>
      <w:proofErr w:type="gramStart"/>
      <w:r w:rsidRPr="00BA34CF">
        <w:rPr>
          <w:rFonts w:ascii="Times New Roman" w:hAnsi="Times New Roman"/>
          <w:sz w:val="28"/>
          <w:szCs w:val="28"/>
        </w:rPr>
        <w:t>На основании приказа МКУ «ЦБ Суксунского го</w:t>
      </w:r>
      <w:r w:rsidR="00C846B4">
        <w:rPr>
          <w:rFonts w:ascii="Times New Roman" w:hAnsi="Times New Roman"/>
          <w:sz w:val="28"/>
          <w:szCs w:val="28"/>
        </w:rPr>
        <w:t xml:space="preserve">родского округа» от 02.10.2023 </w:t>
      </w:r>
      <w:r w:rsidRPr="00BA34CF">
        <w:rPr>
          <w:rFonts w:ascii="Times New Roman" w:hAnsi="Times New Roman"/>
          <w:sz w:val="28"/>
          <w:szCs w:val="28"/>
        </w:rPr>
        <w:t>№ 84 «О временном приеме на работу Пономаревой Т.И.», а также приказа МКУ «ЦБ Суксунского городского округа» от 02.10.2023 № 56 «О внесении изменений в приказ Муниципального к</w:t>
      </w:r>
      <w:r w:rsidRPr="00BA34CF">
        <w:rPr>
          <w:rFonts w:ascii="Times New Roman" w:hAnsi="Times New Roman"/>
          <w:sz w:val="28"/>
          <w:szCs w:val="28"/>
        </w:rPr>
        <w:t>а</w:t>
      </w:r>
      <w:r w:rsidRPr="00BA34CF">
        <w:rPr>
          <w:rFonts w:ascii="Times New Roman" w:hAnsi="Times New Roman"/>
          <w:sz w:val="28"/>
          <w:szCs w:val="28"/>
        </w:rPr>
        <w:t>зенного учреждения «Централизованная бухгалтерия Суксунского городского округа Пермского края» от 21.10.2020 № 139 «О назначении ответственных лиц с правом второй подписи в платежных и бухгалтерских</w:t>
      </w:r>
      <w:proofErr w:type="gramEnd"/>
      <w:r w:rsidRPr="00BA3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4CF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BA34CF">
        <w:rPr>
          <w:rFonts w:ascii="Times New Roman" w:hAnsi="Times New Roman"/>
          <w:sz w:val="28"/>
          <w:szCs w:val="28"/>
        </w:rPr>
        <w:t>» в период</w:t>
      </w:r>
      <w:r w:rsidR="00BA34CF" w:rsidRPr="00BA34CF">
        <w:rPr>
          <w:rFonts w:ascii="Times New Roman" w:hAnsi="Times New Roman"/>
          <w:sz w:val="28"/>
          <w:szCs w:val="28"/>
        </w:rPr>
        <w:t xml:space="preserve"> </w:t>
      </w:r>
      <w:r w:rsidRPr="00BA34CF">
        <w:rPr>
          <w:rFonts w:ascii="Times New Roman" w:hAnsi="Times New Roman"/>
          <w:sz w:val="28"/>
          <w:szCs w:val="28"/>
        </w:rPr>
        <w:t>с 02.10.2023 по настоящее время обязанности главного бухгалтера возложены на Пономареву Т.И.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BA34CF">
        <w:rPr>
          <w:rFonts w:ascii="Times New Roman" w:hAnsi="Times New Roman"/>
          <w:sz w:val="28"/>
          <w:szCs w:val="28"/>
        </w:rPr>
        <w:t>д</w:t>
      </w:r>
      <w:r w:rsidRPr="00BA34CF">
        <w:rPr>
          <w:rFonts w:ascii="Times New Roman" w:hAnsi="Times New Roman"/>
          <w:sz w:val="28"/>
          <w:szCs w:val="28"/>
        </w:rPr>
        <w:lastRenderedPageBreak/>
        <w:t>писи бюджетной отчетности Управления образования за 2023 имеют: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начальник Управления образования Администрации Суксунского городск</w:t>
      </w:r>
      <w:r w:rsidRPr="00BA34CF">
        <w:rPr>
          <w:rFonts w:ascii="Times New Roman" w:hAnsi="Times New Roman"/>
          <w:sz w:val="28"/>
          <w:szCs w:val="28"/>
        </w:rPr>
        <w:t>о</w:t>
      </w:r>
      <w:r w:rsidRPr="00BA34CF">
        <w:rPr>
          <w:rFonts w:ascii="Times New Roman" w:hAnsi="Times New Roman"/>
          <w:sz w:val="28"/>
          <w:szCs w:val="28"/>
        </w:rPr>
        <w:t>го округа Пермского края Петухов Владимир Владимирович;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руководитель МКУ «ЦБ Суксунского городского округа» Никитина Лю</w:t>
      </w:r>
      <w:r w:rsidRPr="00BA34CF">
        <w:rPr>
          <w:rFonts w:ascii="Times New Roman" w:hAnsi="Times New Roman"/>
          <w:sz w:val="28"/>
          <w:szCs w:val="28"/>
        </w:rPr>
        <w:t>д</w:t>
      </w:r>
      <w:r w:rsidRPr="00BA34CF">
        <w:rPr>
          <w:rFonts w:ascii="Times New Roman" w:hAnsi="Times New Roman"/>
          <w:sz w:val="28"/>
          <w:szCs w:val="28"/>
        </w:rPr>
        <w:t>мила Ивановна;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ведущий бухгалтер МКУ «ЦБ Суксунского городского округа» Пономарева Тамара Ивановна, на которую возложены обязанности главного бухгалтера по в</w:t>
      </w:r>
      <w:r w:rsidRPr="00BA34CF">
        <w:rPr>
          <w:rFonts w:ascii="Times New Roman" w:hAnsi="Times New Roman"/>
          <w:sz w:val="28"/>
          <w:szCs w:val="28"/>
        </w:rPr>
        <w:t>е</w:t>
      </w:r>
      <w:r w:rsidRPr="00BA34CF">
        <w:rPr>
          <w:rFonts w:ascii="Times New Roman" w:hAnsi="Times New Roman"/>
          <w:sz w:val="28"/>
          <w:szCs w:val="28"/>
        </w:rPr>
        <w:t>дению бюджетного учета Управления образования Администрации Суксунского городского округа Пермского края.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BA34CF" w:rsidRDefault="00BA34CF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BA3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BA3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BA34CF" w:rsidRDefault="00C3263D" w:rsidP="00BA34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F9C" w:rsidRPr="00BA34CF" w:rsidRDefault="00D15F9C" w:rsidP="00B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BA34CF">
        <w:rPr>
          <w:rFonts w:ascii="Times New Roman" w:eastAsiaTheme="minorHAnsi" w:hAnsi="Times New Roman"/>
          <w:color w:val="000000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BA34CF">
        <w:rPr>
          <w:rFonts w:ascii="Times New Roman" w:eastAsiaTheme="minorHAnsi" w:hAnsi="Times New Roman"/>
          <w:bCs/>
          <w:color w:val="000000"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BA34CF">
        <w:rPr>
          <w:rFonts w:ascii="Times New Roman" w:eastAsiaTheme="minorHAnsi" w:hAnsi="Times New Roman"/>
          <w:bCs/>
          <w:color w:val="000000"/>
          <w:sz w:val="28"/>
          <w:szCs w:val="28"/>
        </w:rPr>
        <w:t>к</w:t>
      </w:r>
      <w:r w:rsidRPr="00BA34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сунского городского округа» (далее – постановление </w:t>
      </w:r>
      <w:r w:rsidRPr="00BA34CF">
        <w:rPr>
          <w:rFonts w:ascii="Times New Roman" w:eastAsiaTheme="minorHAnsi" w:hAnsi="Times New Roman"/>
          <w:color w:val="000000"/>
          <w:sz w:val="28"/>
          <w:szCs w:val="28"/>
        </w:rPr>
        <w:t>Администрации Суксунск</w:t>
      </w:r>
      <w:r w:rsidRPr="00BA34CF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BA34CF">
        <w:rPr>
          <w:rFonts w:ascii="Times New Roman" w:eastAsiaTheme="minorHAnsi" w:hAnsi="Times New Roman"/>
          <w:color w:val="000000"/>
          <w:sz w:val="28"/>
          <w:szCs w:val="28"/>
        </w:rPr>
        <w:t>го городского округа от 10.11.2021 № 701)</w:t>
      </w:r>
      <w:r w:rsidRPr="00BA34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BA34CF">
        <w:rPr>
          <w:rFonts w:ascii="Times New Roman" w:eastAsiaTheme="minorHAnsi" w:hAnsi="Times New Roman"/>
          <w:color w:val="000000"/>
          <w:sz w:val="28"/>
          <w:szCs w:val="28"/>
        </w:rPr>
        <w:t>Управление образования</w:t>
      </w:r>
      <w:r w:rsidRPr="00BA34C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является главным администратором доходов бюджета Суксунского городского округа.</w:t>
      </w:r>
      <w:proofErr w:type="gramEnd"/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34CF">
        <w:rPr>
          <w:rFonts w:ascii="Times New Roman" w:hAnsi="Times New Roman"/>
          <w:sz w:val="28"/>
          <w:szCs w:val="28"/>
        </w:rPr>
        <w:t xml:space="preserve">Управление образования в соответствии с </w:t>
      </w:r>
      <w:r w:rsidRPr="00BA34CF">
        <w:rPr>
          <w:rFonts w:ascii="Times New Roman" w:eastAsiaTheme="minorHAnsi" w:hAnsi="Times New Roman"/>
          <w:sz w:val="28"/>
          <w:szCs w:val="28"/>
        </w:rPr>
        <w:t>решением Думы Суксунского г</w:t>
      </w:r>
      <w:r w:rsidRPr="00BA34CF">
        <w:rPr>
          <w:rFonts w:ascii="Times New Roman" w:eastAsiaTheme="minorHAnsi" w:hAnsi="Times New Roman"/>
          <w:sz w:val="28"/>
          <w:szCs w:val="28"/>
        </w:rPr>
        <w:t>о</w:t>
      </w:r>
      <w:r w:rsidRPr="00BA34CF">
        <w:rPr>
          <w:rFonts w:ascii="Times New Roman" w:eastAsiaTheme="minorHAnsi" w:hAnsi="Times New Roman"/>
          <w:sz w:val="28"/>
          <w:szCs w:val="28"/>
        </w:rPr>
        <w:t>родского округа от 08.12.2022 № 305 «О бюджете Суксунского городского округа на 2023 год и на плановый период 2024 и 2025 годов»</w:t>
      </w:r>
      <w:r w:rsidRPr="00BA34CF">
        <w:rPr>
          <w:rFonts w:ascii="Times New Roman" w:hAnsi="Times New Roman"/>
          <w:sz w:val="28"/>
          <w:szCs w:val="28"/>
        </w:rPr>
        <w:t xml:space="preserve"> (далее – Решение о бюдж</w:t>
      </w:r>
      <w:r w:rsidRPr="00BA34CF">
        <w:rPr>
          <w:rFonts w:ascii="Times New Roman" w:hAnsi="Times New Roman"/>
          <w:sz w:val="28"/>
          <w:szCs w:val="28"/>
        </w:rPr>
        <w:t>е</w:t>
      </w:r>
      <w:r w:rsidRPr="00BA34CF">
        <w:rPr>
          <w:rFonts w:ascii="Times New Roman" w:hAnsi="Times New Roman"/>
          <w:sz w:val="28"/>
          <w:szCs w:val="28"/>
        </w:rPr>
        <w:t>те) осуществляет бюджетные полномочия главного распорядителя бюджетных средств, главного администратора доходов бюджета.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Управления образования за 2023 год сформирована единым комплектом по сов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Управлением образования полномочий.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образования за 2023 год пре</w:t>
      </w:r>
      <w:r w:rsidRPr="00BA34CF">
        <w:rPr>
          <w:rFonts w:ascii="Times New Roman" w:eastAsiaTheme="minorHAnsi" w:hAnsi="Times New Roman"/>
          <w:sz w:val="28"/>
          <w:szCs w:val="28"/>
        </w:rPr>
        <w:t>д</w:t>
      </w:r>
      <w:r w:rsidRPr="00BA34CF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 Инструкции № 191н: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справка по консолидируемым расчетам (ф. 0503125);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отчет об исполнении бюджета (ф.0503117-НП);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отчет об исполнении бюджета главного распорядителя, распорядителя, п</w:t>
      </w:r>
      <w:r w:rsidRPr="00BA34CF">
        <w:rPr>
          <w:rFonts w:ascii="Times New Roman" w:eastAsiaTheme="minorHAnsi" w:hAnsi="Times New Roman"/>
          <w:sz w:val="28"/>
          <w:szCs w:val="28"/>
        </w:rPr>
        <w:t>о</w:t>
      </w:r>
      <w:r w:rsidRPr="00BA34CF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BA34CF">
        <w:rPr>
          <w:rFonts w:ascii="Times New Roman" w:eastAsiaTheme="minorHAnsi" w:hAnsi="Times New Roman"/>
          <w:sz w:val="28"/>
          <w:szCs w:val="28"/>
        </w:rPr>
        <w:t>и</w:t>
      </w:r>
      <w:r w:rsidRPr="00BA34CF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0503128-НП);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lastRenderedPageBreak/>
        <w:t>отчет о финансовых результатах деятельности (ф. 0503121);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отчет о движении денежных средств (ф. 0503123);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пояснительная записка в составе: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сведений об исполнении текстовых статей закона (решения) о бюджете (таблица № 3);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34CF">
        <w:rPr>
          <w:rFonts w:ascii="Times New Roman" w:eastAsiaTheme="minorHAnsi" w:hAnsi="Times New Roman"/>
          <w:sz w:val="28"/>
          <w:szCs w:val="28"/>
        </w:rPr>
        <w:t>анализа отчета об исполнении бюджета субъектом бюджетной отчетности (таблица 13);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сведений о финансовых вложениях получателя бюджетных средств, адм</w:t>
      </w:r>
      <w:r w:rsidRPr="00BA34CF">
        <w:rPr>
          <w:rFonts w:ascii="Times New Roman" w:hAnsi="Times New Roman"/>
          <w:sz w:val="28"/>
          <w:szCs w:val="28"/>
        </w:rPr>
        <w:t>и</w:t>
      </w:r>
      <w:r w:rsidRPr="00BA34CF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9" w:history="1">
        <w:r w:rsidRPr="00BA34CF">
          <w:rPr>
            <w:rFonts w:ascii="Times New Roman" w:hAnsi="Times New Roman"/>
            <w:sz w:val="28"/>
            <w:szCs w:val="28"/>
          </w:rPr>
          <w:t>(ф. 0503171)</w:t>
        </w:r>
      </w:hyperlink>
      <w:r w:rsidRPr="00BA34CF">
        <w:rPr>
          <w:rFonts w:ascii="Times New Roman" w:hAnsi="Times New Roman"/>
          <w:sz w:val="28"/>
          <w:szCs w:val="28"/>
        </w:rPr>
        <w:t>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 xml:space="preserve">сведений об изменении остатков валюты баланса </w:t>
      </w:r>
      <w:hyperlink r:id="rId10" w:history="1">
        <w:r w:rsidRPr="00BA34CF">
          <w:rPr>
            <w:rFonts w:ascii="Times New Roman" w:hAnsi="Times New Roman"/>
            <w:sz w:val="28"/>
            <w:szCs w:val="28"/>
          </w:rPr>
          <w:t>(ф. 0503173)</w:t>
        </w:r>
      </w:hyperlink>
      <w:r w:rsidRPr="00BA34CF">
        <w:rPr>
          <w:rFonts w:ascii="Times New Roman" w:hAnsi="Times New Roman"/>
          <w:sz w:val="28"/>
          <w:szCs w:val="28"/>
        </w:rPr>
        <w:t>;</w:t>
      </w:r>
    </w:p>
    <w:p w:rsidR="00D15F9C" w:rsidRPr="00BA34CF" w:rsidRDefault="00D15F9C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CF">
        <w:rPr>
          <w:rFonts w:ascii="Times New Roman" w:hAnsi="Times New Roman"/>
          <w:sz w:val="28"/>
          <w:szCs w:val="28"/>
        </w:rPr>
        <w:t>сведения о безвозмездной передаче (получению)</w:t>
      </w:r>
      <w:r w:rsidR="00BA34CF">
        <w:rPr>
          <w:rFonts w:ascii="Times New Roman" w:hAnsi="Times New Roman"/>
          <w:sz w:val="28"/>
          <w:szCs w:val="28"/>
        </w:rPr>
        <w:t xml:space="preserve"> </w:t>
      </w:r>
      <w:r w:rsidRPr="00BA34CF">
        <w:rPr>
          <w:rFonts w:ascii="Times New Roman" w:hAnsi="Times New Roman"/>
          <w:sz w:val="28"/>
          <w:szCs w:val="28"/>
        </w:rPr>
        <w:t>нефинансовых активов (за исключением денежных средств) (ф.</w:t>
      </w:r>
      <w:r w:rsidR="00BA34CF">
        <w:rPr>
          <w:rFonts w:ascii="Times New Roman" w:hAnsi="Times New Roman"/>
          <w:sz w:val="28"/>
          <w:szCs w:val="28"/>
        </w:rPr>
        <w:t xml:space="preserve"> </w:t>
      </w:r>
      <w:r w:rsidRPr="00BA34CF">
        <w:rPr>
          <w:rFonts w:ascii="Times New Roman" w:hAnsi="Times New Roman"/>
          <w:sz w:val="28"/>
          <w:szCs w:val="28"/>
        </w:rPr>
        <w:t>х25</w:t>
      </w:r>
      <w:r w:rsidRPr="00BA34CF">
        <w:rPr>
          <w:rFonts w:ascii="Times New Roman" w:hAnsi="Times New Roman"/>
          <w:sz w:val="28"/>
          <w:szCs w:val="28"/>
          <w:lang w:val="en-US"/>
        </w:rPr>
        <w:t>K</w:t>
      </w:r>
      <w:r w:rsidRPr="00BA34CF">
        <w:rPr>
          <w:rFonts w:ascii="Times New Roman" w:hAnsi="Times New Roman"/>
          <w:sz w:val="28"/>
          <w:szCs w:val="28"/>
        </w:rPr>
        <w:t>У).</w:t>
      </w:r>
    </w:p>
    <w:p w:rsidR="004B6BBA" w:rsidRPr="00BA34CF" w:rsidRDefault="004B6BBA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0133D" w:rsidRPr="00BA34CF" w:rsidRDefault="0030133D" w:rsidP="00BA34CF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3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городского округа, администрируемые Управлением образования Администрации Суксунского городского округа Пермского края</w:t>
      </w:r>
    </w:p>
    <w:p w:rsidR="0030133D" w:rsidRPr="00BA34CF" w:rsidRDefault="0030133D" w:rsidP="00BA3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30133D" w:rsidRPr="00BA34CF" w:rsidRDefault="0030133D" w:rsidP="00BA3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A34CF">
        <w:rPr>
          <w:rFonts w:ascii="Times New Roman" w:eastAsiaTheme="minorHAnsi" w:hAnsi="Times New Roman"/>
          <w:spacing w:val="-2"/>
          <w:sz w:val="28"/>
          <w:szCs w:val="28"/>
        </w:rPr>
        <w:t xml:space="preserve">В проверяемом периоде в соответствии с </w:t>
      </w:r>
      <w:r w:rsidRPr="00BA34CF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постановлением </w:t>
      </w:r>
      <w:r w:rsidRPr="00BA34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Суксунского городского округа от 10.11.2021 № 701 </w:t>
      </w:r>
      <w:r w:rsidRPr="00BA34CF">
        <w:rPr>
          <w:rFonts w:ascii="Times New Roman" w:eastAsiaTheme="minorHAnsi" w:hAnsi="Times New Roman"/>
          <w:spacing w:val="-2"/>
          <w:sz w:val="28"/>
          <w:szCs w:val="28"/>
        </w:rPr>
        <w:t xml:space="preserve">Управление образования наделено полномочиями главного администратора доходов бюджета Суксунского городского округа </w:t>
      </w:r>
      <w:r w:rsidRP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администратора 620) </w:t>
      </w:r>
      <w:r w:rsidRPr="00BA34CF">
        <w:rPr>
          <w:rFonts w:ascii="Times New Roman" w:eastAsiaTheme="minorHAnsi" w:hAnsi="Times New Roman"/>
          <w:spacing w:val="-2"/>
          <w:sz w:val="28"/>
          <w:szCs w:val="28"/>
        </w:rPr>
        <w:t>в части следующих доходов,</w:t>
      </w:r>
      <w:r w:rsidRPr="00BA34CF">
        <w:rPr>
          <w:rFonts w:ascii="Times New Roman" w:hAnsi="Times New Roman"/>
          <w:spacing w:val="-2"/>
          <w:sz w:val="28"/>
          <w:szCs w:val="28"/>
        </w:rPr>
        <w:t xml:space="preserve"> пре</w:t>
      </w:r>
      <w:r w:rsidRPr="00BA34CF">
        <w:rPr>
          <w:rFonts w:ascii="Times New Roman" w:hAnsi="Times New Roman"/>
          <w:spacing w:val="-2"/>
          <w:sz w:val="28"/>
          <w:szCs w:val="28"/>
        </w:rPr>
        <w:t>д</w:t>
      </w:r>
      <w:r w:rsidRPr="00BA34CF">
        <w:rPr>
          <w:rFonts w:ascii="Times New Roman" w:hAnsi="Times New Roman"/>
          <w:spacing w:val="-2"/>
          <w:sz w:val="28"/>
          <w:szCs w:val="28"/>
        </w:rPr>
        <w:t>ставленных в таблице № 1.</w:t>
      </w:r>
    </w:p>
    <w:p w:rsidR="0030133D" w:rsidRPr="0030133D" w:rsidRDefault="0030133D" w:rsidP="00301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133D" w:rsidRPr="00C846B4" w:rsidRDefault="0030133D" w:rsidP="0030133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6B4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7229"/>
      </w:tblGrid>
      <w:tr w:rsidR="0030133D" w:rsidRPr="0030133D" w:rsidTr="00BA34CF">
        <w:trPr>
          <w:trHeight w:val="55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133D" w:rsidRPr="0030133D" w:rsidTr="00BA34CF">
        <w:trPr>
          <w:trHeight w:val="24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>2</w:t>
            </w:r>
          </w:p>
        </w:tc>
      </w:tr>
      <w:tr w:rsidR="0030133D" w:rsidRPr="0030133D" w:rsidTr="00BA34CF">
        <w:trPr>
          <w:trHeight w:val="4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0133D" w:rsidRPr="0030133D" w:rsidTr="00BA34CF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1 16 10 031 04 0000 140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0133D" w:rsidRPr="0030133D" w:rsidTr="00BA34CF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0133D" w:rsidRPr="0030133D" w:rsidTr="00BA34CF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1 17 15 020 04 0000 150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30133D" w:rsidRPr="0030133D" w:rsidTr="00BA34CF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2 02 25 097 04 0000 150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Субсидии бюджетам городских округов на создание в общеобразов</w:t>
            </w:r>
            <w:r w:rsidRPr="0030133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0133D" w:rsidRPr="0030133D" w:rsidTr="00BA34CF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2 02 25 228 04 0000 150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ванием</w:t>
            </w:r>
          </w:p>
        </w:tc>
      </w:tr>
      <w:tr w:rsidR="0030133D" w:rsidRPr="0030133D" w:rsidTr="00BA34CF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2 02 29 999 04 0000 150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0133D" w:rsidRPr="0030133D" w:rsidTr="00BA34CF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полномочий субъектов Российской Федерации</w:t>
            </w:r>
          </w:p>
        </w:tc>
      </w:tr>
      <w:tr w:rsidR="0030133D" w:rsidRPr="0030133D" w:rsidTr="00BA34CF">
        <w:trPr>
          <w:trHeight w:val="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0133D" w:rsidRPr="0030133D" w:rsidTr="00BA34CF">
        <w:trPr>
          <w:trHeight w:val="6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2 02 45 179 04 0000 150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общественными объединениями в общеобразовательных орг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</w:tr>
      <w:tr w:rsidR="0030133D" w:rsidRPr="0030133D" w:rsidTr="00BA34CF">
        <w:trPr>
          <w:trHeight w:val="6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2 02 45 303 04 0000 150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ководство педагогическим работникам государственных и муниц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</w:t>
            </w:r>
          </w:p>
        </w:tc>
      </w:tr>
      <w:tr w:rsidR="0030133D" w:rsidRPr="0030133D" w:rsidTr="00BA34C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30133D" w:rsidRPr="0030133D" w:rsidTr="00BA34CF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2 03 04 099 04 0000 150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организаций в бюджеты городских округов</w:t>
            </w:r>
          </w:p>
        </w:tc>
      </w:tr>
      <w:tr w:rsidR="0030133D" w:rsidRPr="0030133D" w:rsidTr="00BA34CF">
        <w:trPr>
          <w:trHeight w:val="56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2 18 04 010 04 0000 150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0133D" w:rsidRPr="0030133D" w:rsidTr="00BA34CF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2 18 04 020 04 0000 150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0133D" w:rsidRPr="0030133D" w:rsidTr="00BA34CF">
        <w:trPr>
          <w:trHeight w:val="5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2 18 04 030 04 0000 150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остатков субсидий прошлых лет</w:t>
            </w:r>
          </w:p>
        </w:tc>
      </w:tr>
      <w:tr w:rsidR="0030133D" w:rsidRPr="0030133D" w:rsidTr="00BA34CF">
        <w:trPr>
          <w:trHeight w:val="8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2 19 25 097 04 0000 150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создание в общеобразовательных 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расположенных в сельской местности, условий для з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нятий физической культурой и спортом из бюджетов городских округов</w:t>
            </w:r>
          </w:p>
        </w:tc>
      </w:tr>
      <w:tr w:rsidR="0030133D" w:rsidRPr="0030133D" w:rsidTr="00BA34CF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2 19 45 303 04 0000 150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иных межбюджетных трансфертов на ежемеся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денежное вознаграждение за классное руководство педагогич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государственных и муниципальных общеобраз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 из бюджетов городских округов</w:t>
            </w:r>
          </w:p>
        </w:tc>
      </w:tr>
      <w:tr w:rsidR="0030133D" w:rsidRPr="0030133D" w:rsidTr="00BA34CF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трансфертов, имеющих целевое назначение, прошлых лет из бюджетов городских округов</w:t>
            </w:r>
          </w:p>
        </w:tc>
      </w:tr>
    </w:tbl>
    <w:p w:rsidR="0030133D" w:rsidRPr="0030133D" w:rsidRDefault="0030133D" w:rsidP="00301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В соответствии с Решением о бюджете за Управлением образования закре</w:t>
      </w:r>
      <w:r w:rsidRPr="0030133D">
        <w:rPr>
          <w:rFonts w:ascii="Times New Roman" w:hAnsi="Times New Roman"/>
          <w:sz w:val="28"/>
          <w:szCs w:val="28"/>
        </w:rPr>
        <w:t>п</w:t>
      </w:r>
      <w:r w:rsidRPr="0030133D">
        <w:rPr>
          <w:rFonts w:ascii="Times New Roman" w:hAnsi="Times New Roman"/>
          <w:sz w:val="28"/>
          <w:szCs w:val="28"/>
        </w:rPr>
        <w:t>лены доходы бюджета на 2023 год в сумме 339 285 539,32 руб., что подтвержд</w:t>
      </w:r>
      <w:r w:rsidRPr="0030133D">
        <w:rPr>
          <w:rFonts w:ascii="Times New Roman" w:hAnsi="Times New Roman"/>
          <w:sz w:val="28"/>
          <w:szCs w:val="28"/>
        </w:rPr>
        <w:t>а</w:t>
      </w:r>
      <w:r w:rsidRPr="0030133D">
        <w:rPr>
          <w:rFonts w:ascii="Times New Roman" w:hAnsi="Times New Roman"/>
          <w:sz w:val="28"/>
          <w:szCs w:val="28"/>
        </w:rPr>
        <w:t>ется Бюджетной росписью доходов Суксунского городского округа на 2023 год и плановый период 2024 и 2025 годов.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33D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30133D">
        <w:rPr>
          <w:rFonts w:ascii="Times New Roman" w:hAnsi="Times New Roman"/>
          <w:sz w:val="28"/>
          <w:szCs w:val="28"/>
        </w:rPr>
        <w:t>о</w:t>
      </w:r>
      <w:r w:rsidRPr="0030133D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30133D">
        <w:rPr>
          <w:rFonts w:ascii="Times New Roman" w:hAnsi="Times New Roman"/>
          <w:sz w:val="28"/>
          <w:szCs w:val="28"/>
        </w:rPr>
        <w:t>д</w:t>
      </w:r>
      <w:r w:rsidRPr="0030133D">
        <w:rPr>
          <w:rFonts w:ascii="Times New Roman" w:hAnsi="Times New Roman"/>
          <w:sz w:val="28"/>
          <w:szCs w:val="28"/>
        </w:rPr>
        <w:t xml:space="preserve">министратора, администратора доходов бюджета (ф. 0503127) (далее – Отчет об исполнении бюджета (ф. 0503127)) фактическое исполнение по доходам за 2023 </w:t>
      </w:r>
      <w:r w:rsidRPr="0030133D">
        <w:rPr>
          <w:rFonts w:ascii="Times New Roman" w:hAnsi="Times New Roman"/>
          <w:sz w:val="28"/>
          <w:szCs w:val="28"/>
        </w:rPr>
        <w:lastRenderedPageBreak/>
        <w:t>год составило 336 559 295,27 руб., или 99,2% от утвержденных бюджетных назн</w:t>
      </w:r>
      <w:r w:rsidRPr="0030133D">
        <w:rPr>
          <w:rFonts w:ascii="Times New Roman" w:hAnsi="Times New Roman"/>
          <w:sz w:val="28"/>
          <w:szCs w:val="28"/>
        </w:rPr>
        <w:t>а</w:t>
      </w:r>
      <w:r w:rsidRPr="0030133D">
        <w:rPr>
          <w:rFonts w:ascii="Times New Roman" w:hAnsi="Times New Roman"/>
          <w:sz w:val="28"/>
          <w:szCs w:val="28"/>
        </w:rPr>
        <w:t>чений.</w:t>
      </w:r>
      <w:proofErr w:type="gramEnd"/>
      <w:r w:rsidRPr="0030133D">
        <w:rPr>
          <w:rFonts w:ascii="Times New Roman" w:hAnsi="Times New Roman"/>
          <w:sz w:val="28"/>
          <w:szCs w:val="28"/>
        </w:rPr>
        <w:t xml:space="preserve"> Более подробно исполнение по доходам представлено в таблице № 2.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0133D" w:rsidRPr="00C846B4" w:rsidRDefault="0030133D" w:rsidP="0030133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6B4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20"/>
        <w:gridCol w:w="1842"/>
        <w:gridCol w:w="1699"/>
        <w:gridCol w:w="1558"/>
        <w:gridCol w:w="992"/>
      </w:tblGrid>
      <w:tr w:rsidR="0030133D" w:rsidRPr="0030133D" w:rsidTr="00C846B4">
        <w:trPr>
          <w:trHeight w:val="1100"/>
          <w:tblHeader/>
        </w:trPr>
        <w:tc>
          <w:tcPr>
            <w:tcW w:w="275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15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44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774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ненные</w:t>
            </w:r>
          </w:p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493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30133D" w:rsidRPr="0030133D" w:rsidTr="00C846B4">
        <w:trPr>
          <w:trHeight w:val="132"/>
          <w:tblHeader/>
        </w:trPr>
        <w:tc>
          <w:tcPr>
            <w:tcW w:w="275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0133D" w:rsidRPr="0030133D" w:rsidTr="00C846B4">
        <w:trPr>
          <w:trHeight w:val="540"/>
        </w:trPr>
        <w:tc>
          <w:tcPr>
            <w:tcW w:w="275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34 843 833,12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34 843 833,12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0133D" w:rsidRPr="0030133D" w:rsidTr="00C846B4">
        <w:trPr>
          <w:trHeight w:val="485"/>
        </w:trPr>
        <w:tc>
          <w:tcPr>
            <w:tcW w:w="275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277 887 560,00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277</w:t>
            </w:r>
            <w:r w:rsidR="00C846B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0133D">
              <w:rPr>
                <w:rFonts w:ascii="Times New Roman" w:eastAsia="Times New Roman" w:hAnsi="Times New Roman"/>
                <w:lang w:eastAsia="ru-RU"/>
              </w:rPr>
              <w:t>887</w:t>
            </w:r>
            <w:r w:rsidR="00C846B4" w:rsidRPr="0030133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0133D">
              <w:rPr>
                <w:rFonts w:ascii="Times New Roman" w:eastAsia="Times New Roman" w:hAnsi="Times New Roman"/>
                <w:lang w:eastAsia="ru-RU"/>
              </w:rPr>
              <w:t>560,00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0133D" w:rsidRPr="0030133D" w:rsidTr="00C846B4">
        <w:trPr>
          <w:trHeight w:val="351"/>
        </w:trPr>
        <w:tc>
          <w:tcPr>
            <w:tcW w:w="27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9" w:type="pct"/>
            <w:shd w:val="clear" w:color="auto" w:fill="auto"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провед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обеспеч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деятельности советников директора по воспитанию и взаимодействию с детскими общественными объединени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общеобразовательных организациях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631 197,20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631 197,20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0133D" w:rsidRPr="0030133D" w:rsidTr="00C846B4">
        <w:trPr>
          <w:trHeight w:val="540"/>
        </w:trPr>
        <w:tc>
          <w:tcPr>
            <w:tcW w:w="27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ежемеся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денежное вознаграждение за классное руководство пед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работникам гос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и муниципал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12 143 600,00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12 143 600,00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0133D" w:rsidRPr="0030133D" w:rsidTr="00C846B4">
        <w:trPr>
          <w:trHeight w:val="327"/>
        </w:trPr>
        <w:tc>
          <w:tcPr>
            <w:tcW w:w="27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13 779 349,00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13</w:t>
            </w:r>
            <w:r w:rsidR="00C846B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0133D">
              <w:rPr>
                <w:rFonts w:ascii="Times New Roman" w:eastAsia="Times New Roman" w:hAnsi="Times New Roman"/>
                <w:lang w:eastAsia="ru-RU"/>
              </w:rPr>
              <w:t>779</w:t>
            </w:r>
            <w:r w:rsidR="00C846B4" w:rsidRPr="0030133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0133D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0133D" w:rsidRPr="0030133D" w:rsidTr="00C846B4">
        <w:trPr>
          <w:trHeight w:val="804"/>
        </w:trPr>
        <w:tc>
          <w:tcPr>
            <w:tcW w:w="275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Доходы бюджетов городских округов от возврата автоно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650 941,25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650 941,25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133D" w:rsidRPr="0030133D" w:rsidTr="00C846B4">
        <w:trPr>
          <w:trHeight w:val="804"/>
        </w:trPr>
        <w:tc>
          <w:tcPr>
            <w:tcW w:w="27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9" w:type="pct"/>
            <w:shd w:val="clear" w:color="auto" w:fill="auto"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Возврат остатков субсидий на организацию бесплатного г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рячего питания обучающихся, получающих начальное общее образование в государстве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ных и муниципальных образ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вательных организациях из бюджета городских округов 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-299 646,21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-299 646,21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133D" w:rsidRPr="0030133D" w:rsidTr="00C846B4">
        <w:trPr>
          <w:trHeight w:val="300"/>
        </w:trPr>
        <w:tc>
          <w:tcPr>
            <w:tcW w:w="27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9" w:type="pct"/>
            <w:shd w:val="clear" w:color="auto" w:fill="auto"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иных ме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бюджетных трансфертов на ежемесячное денежное возн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классное рук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педагогическим р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 государственных и муниципальных общеобраз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 из бюджетов городских округов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-331 632,63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-331 632,63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133D" w:rsidRPr="0030133D" w:rsidTr="00C846B4">
        <w:trPr>
          <w:trHeight w:val="300"/>
        </w:trPr>
        <w:tc>
          <w:tcPr>
            <w:tcW w:w="275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99" w:type="pct"/>
            <w:shd w:val="clear" w:color="auto" w:fill="auto"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г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-2 745 906,46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C8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lang w:eastAsia="ru-RU"/>
              </w:rPr>
              <w:t>-2 745 906,46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133D" w:rsidRPr="0030133D" w:rsidTr="00C846B4">
        <w:trPr>
          <w:trHeight w:val="300"/>
        </w:trPr>
        <w:tc>
          <w:tcPr>
            <w:tcW w:w="27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pct"/>
            <w:shd w:val="clear" w:color="auto" w:fill="auto"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lang w:eastAsia="ru-RU"/>
              </w:rPr>
              <w:t>339 285 539,32</w:t>
            </w:r>
          </w:p>
        </w:tc>
        <w:tc>
          <w:tcPr>
            <w:tcW w:w="84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lang w:eastAsia="ru-RU"/>
              </w:rPr>
              <w:t>336 559 295,27</w:t>
            </w:r>
          </w:p>
        </w:tc>
        <w:tc>
          <w:tcPr>
            <w:tcW w:w="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lang w:eastAsia="ru-RU"/>
              </w:rPr>
              <w:t>2 726 244,05</w:t>
            </w:r>
          </w:p>
        </w:tc>
        <w:tc>
          <w:tcPr>
            <w:tcW w:w="493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lang w:eastAsia="ru-RU"/>
              </w:rPr>
              <w:t>99,2</w:t>
            </w:r>
          </w:p>
        </w:tc>
      </w:tr>
    </w:tbl>
    <w:p w:rsidR="0030133D" w:rsidRPr="0030133D" w:rsidRDefault="0030133D" w:rsidP="00BA3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133D" w:rsidRPr="0030133D" w:rsidRDefault="0030133D" w:rsidP="0030133D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Расходы бюджета Суксунского городского округа по Управлению о</w:t>
      </w: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разования Администрации Суксунского городского округа Пермского края</w:t>
      </w:r>
    </w:p>
    <w:p w:rsidR="0030133D" w:rsidRPr="0030133D" w:rsidRDefault="0030133D" w:rsidP="00BA3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30133D" w:rsidRPr="0030133D" w:rsidRDefault="0030133D" w:rsidP="00301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2023 году в соответствии с Решением о</w:t>
      </w:r>
      <w:r w:rsidRPr="0030133D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средств.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утверждено бюджетных назначений по расходам на 2023 год в сумме 452 350 607,97 руб., фактическое исполнение по расходам составило 447 816 631,11 руб., или это 99,0% подробнее по видам расходов представлено в таблице № 3:</w:t>
      </w:r>
    </w:p>
    <w:p w:rsidR="0030133D" w:rsidRPr="0030133D" w:rsidRDefault="0030133D" w:rsidP="0030133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133D" w:rsidRPr="00C846B4" w:rsidRDefault="0030133D" w:rsidP="0030133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6B4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0"/>
        <w:gridCol w:w="1850"/>
        <w:gridCol w:w="1698"/>
        <w:gridCol w:w="917"/>
      </w:tblGrid>
      <w:tr w:rsidR="0030133D" w:rsidRPr="0030133D" w:rsidTr="00BA34CF">
        <w:trPr>
          <w:trHeight w:val="931"/>
          <w:tblHeader/>
        </w:trPr>
        <w:tc>
          <w:tcPr>
            <w:tcW w:w="1774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</w:t>
            </w:r>
          </w:p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 уто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ненной бю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жетной росп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си, руб.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 утве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жденных бюджетных назначений, руб.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нено ра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ходов, %</w:t>
            </w:r>
          </w:p>
        </w:tc>
      </w:tr>
      <w:tr w:rsidR="0030133D" w:rsidRPr="0030133D" w:rsidTr="00BA34CF">
        <w:trPr>
          <w:trHeight w:val="215"/>
        </w:trPr>
        <w:tc>
          <w:tcPr>
            <w:tcW w:w="1774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268 004 061,63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267 797 411,0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206 650,63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121 554 510,85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121 491 060,66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63 450,19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24 387 200,00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24 387 200,00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15 939 014,53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14 027 631,34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1 911 383,19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мира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17 538 700,00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15 461 594,87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2 077 105,13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1 068 200,00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793 832,33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274 367,67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563 460,00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562 439,95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1 020,05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3 260 460,96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3 260 460,96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133D" w:rsidRPr="0030133D" w:rsidTr="00BA34CF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30133D" w:rsidRPr="0030133D" w:rsidRDefault="0030133D" w:rsidP="00301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991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452 350 607,97</w:t>
            </w:r>
          </w:p>
        </w:tc>
        <w:tc>
          <w:tcPr>
            <w:tcW w:w="926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447 816 631,11</w:t>
            </w:r>
          </w:p>
        </w:tc>
        <w:tc>
          <w:tcPr>
            <w:tcW w:w="850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4 533 976,86</w:t>
            </w:r>
          </w:p>
        </w:tc>
        <w:tc>
          <w:tcPr>
            <w:tcW w:w="459" w:type="pct"/>
            <w:shd w:val="clear" w:color="auto" w:fill="auto"/>
            <w:noWrap/>
          </w:tcPr>
          <w:p w:rsidR="0030133D" w:rsidRPr="0030133D" w:rsidRDefault="0030133D" w:rsidP="00301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</w:tbl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Выполнение составило 99,0% утвержденных бюджетных назначений.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Низкий процент выполнения (менее 95%) по разделу расходов составил по позициям: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«Другие вопросы в области образования», причина отклонения</w:t>
      </w:r>
      <w:r w:rsidR="00BA34CF">
        <w:rPr>
          <w:rFonts w:ascii="Times New Roman" w:hAnsi="Times New Roman"/>
          <w:sz w:val="28"/>
          <w:szCs w:val="28"/>
        </w:rPr>
        <w:t xml:space="preserve"> –</w:t>
      </w:r>
      <w:r w:rsidRPr="0030133D">
        <w:rPr>
          <w:rFonts w:ascii="Times New Roman" w:hAnsi="Times New Roman"/>
          <w:sz w:val="28"/>
          <w:szCs w:val="28"/>
        </w:rPr>
        <w:t xml:space="preserve"> перечи</w:t>
      </w:r>
      <w:r w:rsidRPr="0030133D">
        <w:rPr>
          <w:rFonts w:ascii="Times New Roman" w:hAnsi="Times New Roman"/>
          <w:sz w:val="28"/>
          <w:szCs w:val="28"/>
        </w:rPr>
        <w:t>с</w:t>
      </w:r>
      <w:r w:rsidRPr="0030133D">
        <w:rPr>
          <w:rFonts w:ascii="Times New Roman" w:hAnsi="Times New Roman"/>
          <w:sz w:val="28"/>
          <w:szCs w:val="28"/>
        </w:rPr>
        <w:t>ление</w:t>
      </w:r>
      <w:r w:rsidR="00BA34CF">
        <w:rPr>
          <w:rFonts w:ascii="Times New Roman" w:hAnsi="Times New Roman"/>
          <w:sz w:val="28"/>
          <w:szCs w:val="28"/>
        </w:rPr>
        <w:t xml:space="preserve"> </w:t>
      </w:r>
      <w:r w:rsidRPr="0030133D">
        <w:rPr>
          <w:rFonts w:ascii="Times New Roman" w:hAnsi="Times New Roman"/>
          <w:sz w:val="28"/>
          <w:szCs w:val="28"/>
        </w:rPr>
        <w:t>межбюджетных трансфертов в пределах сумм, необходимых для оплаты денежных обязательств по расходам получателей средств соответствующего бюджета;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«Социальное обеспечение», причина отклонения</w:t>
      </w:r>
      <w:r w:rsidR="00BA34CF">
        <w:rPr>
          <w:rFonts w:ascii="Times New Roman" w:hAnsi="Times New Roman"/>
          <w:sz w:val="28"/>
          <w:szCs w:val="28"/>
        </w:rPr>
        <w:t xml:space="preserve"> –</w:t>
      </w:r>
      <w:r w:rsidRPr="0030133D">
        <w:rPr>
          <w:rFonts w:ascii="Times New Roman" w:hAnsi="Times New Roman"/>
          <w:sz w:val="28"/>
          <w:szCs w:val="28"/>
        </w:rPr>
        <w:t xml:space="preserve"> уменьшение</w:t>
      </w:r>
      <w:r w:rsidR="00BA34CF">
        <w:rPr>
          <w:rFonts w:ascii="Times New Roman" w:hAnsi="Times New Roman"/>
          <w:sz w:val="28"/>
          <w:szCs w:val="28"/>
        </w:rPr>
        <w:t xml:space="preserve"> </w:t>
      </w:r>
      <w:r w:rsidRPr="0030133D">
        <w:rPr>
          <w:rFonts w:ascii="Times New Roman" w:hAnsi="Times New Roman"/>
          <w:sz w:val="28"/>
          <w:szCs w:val="28"/>
        </w:rPr>
        <w:t>численн</w:t>
      </w:r>
      <w:r w:rsidRPr="0030133D">
        <w:rPr>
          <w:rFonts w:ascii="Times New Roman" w:hAnsi="Times New Roman"/>
          <w:sz w:val="28"/>
          <w:szCs w:val="28"/>
        </w:rPr>
        <w:t>о</w:t>
      </w:r>
      <w:r w:rsidRPr="0030133D">
        <w:rPr>
          <w:rFonts w:ascii="Times New Roman" w:hAnsi="Times New Roman"/>
          <w:sz w:val="28"/>
          <w:szCs w:val="28"/>
        </w:rPr>
        <w:t xml:space="preserve">сти получателей выплат, пособий и компенсаций по сравнению </w:t>
      </w:r>
      <w:proofErr w:type="gramStart"/>
      <w:r w:rsidRPr="0030133D">
        <w:rPr>
          <w:rFonts w:ascii="Times New Roman" w:hAnsi="Times New Roman"/>
          <w:sz w:val="28"/>
          <w:szCs w:val="28"/>
        </w:rPr>
        <w:t>с</w:t>
      </w:r>
      <w:proofErr w:type="gramEnd"/>
      <w:r w:rsidRPr="0030133D">
        <w:rPr>
          <w:rFonts w:ascii="Times New Roman" w:hAnsi="Times New Roman"/>
          <w:sz w:val="28"/>
          <w:szCs w:val="28"/>
        </w:rPr>
        <w:t xml:space="preserve"> запланирова</w:t>
      </w:r>
      <w:r w:rsidRPr="0030133D">
        <w:rPr>
          <w:rFonts w:ascii="Times New Roman" w:hAnsi="Times New Roman"/>
          <w:sz w:val="28"/>
          <w:szCs w:val="28"/>
        </w:rPr>
        <w:t>н</w:t>
      </w:r>
      <w:r w:rsidRPr="0030133D">
        <w:rPr>
          <w:rFonts w:ascii="Times New Roman" w:hAnsi="Times New Roman"/>
          <w:sz w:val="28"/>
          <w:szCs w:val="28"/>
        </w:rPr>
        <w:t>ной;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«Охрана семьи и детства», причина отклонения</w:t>
      </w:r>
      <w:r w:rsidR="00BA34CF">
        <w:rPr>
          <w:rFonts w:ascii="Times New Roman" w:hAnsi="Times New Roman"/>
          <w:sz w:val="28"/>
          <w:szCs w:val="28"/>
        </w:rPr>
        <w:t xml:space="preserve"> –</w:t>
      </w:r>
      <w:r w:rsidRPr="0030133D">
        <w:rPr>
          <w:rFonts w:ascii="Times New Roman" w:hAnsi="Times New Roman"/>
          <w:sz w:val="28"/>
          <w:szCs w:val="28"/>
        </w:rPr>
        <w:t xml:space="preserve"> уменьшение</w:t>
      </w:r>
      <w:r w:rsidR="00BA34CF">
        <w:rPr>
          <w:rFonts w:ascii="Times New Roman" w:hAnsi="Times New Roman"/>
          <w:sz w:val="28"/>
          <w:szCs w:val="28"/>
        </w:rPr>
        <w:t xml:space="preserve"> </w:t>
      </w:r>
      <w:r w:rsidRPr="0030133D">
        <w:rPr>
          <w:rFonts w:ascii="Times New Roman" w:hAnsi="Times New Roman"/>
          <w:sz w:val="28"/>
          <w:szCs w:val="28"/>
        </w:rPr>
        <w:t xml:space="preserve">численности получателей выплат, пособий и компенсаций по сравнению </w:t>
      </w:r>
      <w:proofErr w:type="gramStart"/>
      <w:r w:rsidRPr="0030133D">
        <w:rPr>
          <w:rFonts w:ascii="Times New Roman" w:hAnsi="Times New Roman"/>
          <w:sz w:val="28"/>
          <w:szCs w:val="28"/>
        </w:rPr>
        <w:t>с</w:t>
      </w:r>
      <w:proofErr w:type="gramEnd"/>
      <w:r w:rsidRPr="0030133D">
        <w:rPr>
          <w:rFonts w:ascii="Times New Roman" w:hAnsi="Times New Roman"/>
          <w:sz w:val="28"/>
          <w:szCs w:val="28"/>
        </w:rPr>
        <w:t xml:space="preserve"> запланированной.</w:t>
      </w:r>
    </w:p>
    <w:p w:rsidR="0030133D" w:rsidRPr="0030133D" w:rsidRDefault="0030133D" w:rsidP="00301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0133D" w:rsidRPr="0030133D" w:rsidRDefault="0030133D" w:rsidP="0030133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3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30133D" w:rsidRPr="0030133D" w:rsidRDefault="0030133D" w:rsidP="00301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0133D">
        <w:rPr>
          <w:rFonts w:ascii="Times New Roman" w:eastAsiaTheme="minorHAnsi" w:hAnsi="Times New Roman"/>
          <w:sz w:val="28"/>
          <w:szCs w:val="28"/>
        </w:rPr>
        <w:t>Годовая бюджетная отчетность за 2023 год составлена в соответствии с тр</w:t>
      </w:r>
      <w:r w:rsidRPr="0030133D">
        <w:rPr>
          <w:rFonts w:ascii="Times New Roman" w:eastAsiaTheme="minorHAnsi" w:hAnsi="Times New Roman"/>
          <w:sz w:val="28"/>
          <w:szCs w:val="28"/>
        </w:rPr>
        <w:t>е</w:t>
      </w:r>
      <w:r w:rsidRPr="0030133D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06.12.2023 № 731 «Об установлении сроков представления в Финансовое упра</w:t>
      </w:r>
      <w:r w:rsidRPr="0030133D">
        <w:rPr>
          <w:rFonts w:ascii="Times New Roman" w:eastAsiaTheme="minorHAnsi" w:hAnsi="Times New Roman"/>
          <w:sz w:val="28"/>
          <w:szCs w:val="28"/>
        </w:rPr>
        <w:t>в</w:t>
      </w:r>
      <w:r w:rsidRPr="0030133D">
        <w:rPr>
          <w:rFonts w:ascii="Times New Roman" w:eastAsiaTheme="minorHAnsi" w:hAnsi="Times New Roman"/>
          <w:sz w:val="28"/>
          <w:szCs w:val="28"/>
        </w:rPr>
        <w:t>ление Администрации Суксунского городского округа Пермского края ГРБС г</w:t>
      </w:r>
      <w:r w:rsidRPr="0030133D">
        <w:rPr>
          <w:rFonts w:ascii="Times New Roman" w:eastAsiaTheme="minorHAnsi" w:hAnsi="Times New Roman"/>
          <w:sz w:val="28"/>
          <w:szCs w:val="28"/>
        </w:rPr>
        <w:t>о</w:t>
      </w:r>
      <w:r w:rsidRPr="0030133D">
        <w:rPr>
          <w:rFonts w:ascii="Times New Roman" w:eastAsiaTheme="minorHAnsi" w:hAnsi="Times New Roman"/>
          <w:sz w:val="28"/>
          <w:szCs w:val="28"/>
        </w:rPr>
        <w:t>довой бюджетной отчетности об исполнении бюджета Суксунского городского округа Пермского края и бухгалтерской отчетности бюджетных и автономных учреждений</w:t>
      </w:r>
      <w:proofErr w:type="gramEnd"/>
      <w:r w:rsidRPr="0030133D">
        <w:rPr>
          <w:rFonts w:ascii="Times New Roman" w:eastAsiaTheme="minorHAnsi" w:hAnsi="Times New Roman"/>
          <w:sz w:val="28"/>
          <w:szCs w:val="28"/>
        </w:rPr>
        <w:t xml:space="preserve"> за 2023 год».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33D">
        <w:rPr>
          <w:rFonts w:ascii="Times New Roman" w:eastAsiaTheme="minorHAnsi" w:hAnsi="Times New Roman"/>
          <w:sz w:val="28"/>
          <w:szCs w:val="28"/>
        </w:rPr>
        <w:t>Управлению образования установлена дата представления и сдачи отчета – 23.01.2023.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33D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30133D">
        <w:rPr>
          <w:rFonts w:ascii="Times New Roman" w:hAnsi="Times New Roman"/>
          <w:sz w:val="28"/>
          <w:szCs w:val="28"/>
        </w:rPr>
        <w:t>т</w:t>
      </w:r>
      <w:r w:rsidRPr="0030133D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начальником Управления образования Администрации Суксунского горо</w:t>
      </w:r>
      <w:r w:rsidRPr="0030133D">
        <w:rPr>
          <w:rFonts w:ascii="Times New Roman" w:hAnsi="Times New Roman"/>
          <w:sz w:val="28"/>
          <w:szCs w:val="28"/>
        </w:rPr>
        <w:t>д</w:t>
      </w:r>
      <w:r w:rsidRPr="0030133D">
        <w:rPr>
          <w:rFonts w:ascii="Times New Roman" w:hAnsi="Times New Roman"/>
          <w:sz w:val="28"/>
          <w:szCs w:val="28"/>
        </w:rPr>
        <w:t>ского округа Пермского края Петуховым Владимиром Владимировичем;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ведущим бухгалтером МКУ «ЦБ Суксунского городского округа» Поном</w:t>
      </w:r>
      <w:r w:rsidRPr="0030133D">
        <w:rPr>
          <w:rFonts w:ascii="Times New Roman" w:hAnsi="Times New Roman"/>
          <w:sz w:val="28"/>
          <w:szCs w:val="28"/>
        </w:rPr>
        <w:t>а</w:t>
      </w:r>
      <w:r w:rsidRPr="0030133D">
        <w:rPr>
          <w:rFonts w:ascii="Times New Roman" w:hAnsi="Times New Roman"/>
          <w:sz w:val="28"/>
          <w:szCs w:val="28"/>
        </w:rPr>
        <w:t>ревой Тамарой Ивановной, на которую возложены обязанности главного бухга</w:t>
      </w:r>
      <w:r w:rsidRPr="0030133D">
        <w:rPr>
          <w:rFonts w:ascii="Times New Roman" w:hAnsi="Times New Roman"/>
          <w:sz w:val="28"/>
          <w:szCs w:val="28"/>
        </w:rPr>
        <w:t>л</w:t>
      </w:r>
      <w:r w:rsidRPr="0030133D">
        <w:rPr>
          <w:rFonts w:ascii="Times New Roman" w:hAnsi="Times New Roman"/>
          <w:sz w:val="28"/>
          <w:szCs w:val="28"/>
        </w:rPr>
        <w:t>тера по ведению бюджетного учета Управления образования Администрации Суксунского городского округа Пермского края.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30133D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сятичного знака после запятой.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образования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Раздел 1 «Нефинансовые активы»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0133D">
        <w:rPr>
          <w:rFonts w:ascii="Times New Roman" w:hAnsi="Times New Roman"/>
          <w:sz w:val="28"/>
          <w:szCs w:val="28"/>
        </w:rPr>
        <w:t>подтверждаются данными, отраженными в Сведениях о движении нефинансовых активов (ф. 0503168).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Раздел 2 «Финансовые активы»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0133D">
        <w:rPr>
          <w:rFonts w:ascii="Times New Roman" w:hAnsi="Times New Roman"/>
          <w:sz w:val="28"/>
          <w:szCs w:val="28"/>
        </w:rPr>
        <w:t>подтверждаются да</w:t>
      </w:r>
      <w:r w:rsidRPr="0030133D">
        <w:rPr>
          <w:rFonts w:ascii="Times New Roman" w:hAnsi="Times New Roman"/>
          <w:sz w:val="28"/>
          <w:szCs w:val="28"/>
        </w:rPr>
        <w:t>н</w:t>
      </w:r>
      <w:r w:rsidRPr="0030133D">
        <w:rPr>
          <w:rFonts w:ascii="Times New Roman" w:hAnsi="Times New Roman"/>
          <w:sz w:val="28"/>
          <w:szCs w:val="28"/>
        </w:rPr>
        <w:t>ными,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</w:t>
      </w:r>
      <w:r w:rsidRPr="0030133D">
        <w:rPr>
          <w:rFonts w:ascii="Times New Roman" w:hAnsi="Times New Roman"/>
          <w:sz w:val="28"/>
          <w:szCs w:val="28"/>
        </w:rPr>
        <w:t>ч</w:t>
      </w:r>
      <w:r w:rsidRPr="0030133D">
        <w:rPr>
          <w:rFonts w:ascii="Times New Roman" w:hAnsi="Times New Roman"/>
          <w:sz w:val="28"/>
          <w:szCs w:val="28"/>
        </w:rPr>
        <w:t xml:space="preserve">ников финансирования дефицита бюджета </w:t>
      </w:r>
      <w:hyperlink r:id="rId11" w:history="1">
        <w:r w:rsidRPr="0030133D">
          <w:rPr>
            <w:rFonts w:ascii="Times New Roman" w:hAnsi="Times New Roman"/>
            <w:sz w:val="28"/>
            <w:szCs w:val="28"/>
          </w:rPr>
          <w:t>(ф. 0503171)</w:t>
        </w:r>
      </w:hyperlink>
      <w:r w:rsidRPr="0030133D">
        <w:rPr>
          <w:rFonts w:ascii="Times New Roman" w:hAnsi="Times New Roman"/>
          <w:sz w:val="28"/>
          <w:szCs w:val="28"/>
        </w:rPr>
        <w:t>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Раздел 3 «Обязательства»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0133D">
        <w:rPr>
          <w:rFonts w:ascii="Times New Roman" w:hAnsi="Times New Roman"/>
          <w:sz w:val="28"/>
          <w:szCs w:val="28"/>
        </w:rPr>
        <w:t>подтверждаются данными, отраженными в Сведениях о дебиторской и кредиторской задолженности (вид з</w:t>
      </w:r>
      <w:r w:rsidRPr="0030133D">
        <w:rPr>
          <w:rFonts w:ascii="Times New Roman" w:hAnsi="Times New Roman"/>
          <w:sz w:val="28"/>
          <w:szCs w:val="28"/>
        </w:rPr>
        <w:t>а</w:t>
      </w:r>
      <w:r w:rsidRPr="0030133D">
        <w:rPr>
          <w:rFonts w:ascii="Times New Roman" w:hAnsi="Times New Roman"/>
          <w:sz w:val="28"/>
          <w:szCs w:val="28"/>
        </w:rPr>
        <w:t>долженности – кредиторская задолженность) (ф. 0503169).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Раздел 4 «Финансовый результат»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30133D">
        <w:rPr>
          <w:rFonts w:ascii="Times New Roman" w:hAnsi="Times New Roman"/>
          <w:sz w:val="28"/>
          <w:szCs w:val="28"/>
        </w:rPr>
        <w:t>подтверждается данными Справки по заключению счетов бюджетного учета отчетного финанс</w:t>
      </w:r>
      <w:r w:rsidRPr="0030133D">
        <w:rPr>
          <w:rFonts w:ascii="Times New Roman" w:hAnsi="Times New Roman"/>
          <w:sz w:val="28"/>
          <w:szCs w:val="28"/>
        </w:rPr>
        <w:t>о</w:t>
      </w:r>
      <w:r w:rsidRPr="0030133D">
        <w:rPr>
          <w:rFonts w:ascii="Times New Roman" w:hAnsi="Times New Roman"/>
          <w:sz w:val="28"/>
          <w:szCs w:val="28"/>
        </w:rPr>
        <w:t>вого года (ф. 0503110).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(ф. 0503121) по состоянию на 01.01.2024 составлен в разрезе кодов КОСГУ и содержит данные о финансовых результатах деятельности Управления образования. Проверкой контрольных с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отношений отчетности расхождений не установлено.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01.01.2024 нарушений не выявила.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30133D">
        <w:rPr>
          <w:rFonts w:ascii="Times New Roman" w:hAnsi="Times New Roman"/>
          <w:sz w:val="28"/>
          <w:szCs w:val="28"/>
        </w:rPr>
        <w:t>(ф. 0503127)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30133D" w:rsidRPr="00066AC7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6AC7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30133D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336 559 295,27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2023 год.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по расходам на 2023 год отражены в сумме 452 350 607,97 руб. Исполнение бюджета главного распорядителя в целом по расходам в 2023 году составило 447 816 631,11 руб., или 99 % утвержденных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бюджетных назначений.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2023 год с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ставило 4 533 976,86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30133D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30133D">
        <w:rPr>
          <w:rFonts w:ascii="Times New Roman" w:hAnsi="Times New Roman"/>
          <w:sz w:val="28"/>
          <w:szCs w:val="28"/>
        </w:rPr>
        <w:t>а</w:t>
      </w:r>
      <w:r w:rsidRPr="0030133D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30133D">
        <w:rPr>
          <w:rFonts w:ascii="Times New Roman" w:hAnsi="Times New Roman"/>
          <w:sz w:val="28"/>
          <w:szCs w:val="28"/>
        </w:rPr>
        <w:t>т</w:t>
      </w:r>
      <w:r w:rsidRPr="0030133D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30133D" w:rsidRPr="0030133D" w:rsidRDefault="0030133D" w:rsidP="00C8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01.01.2024 расхождений не установлено.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01.01.2023 с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ставляла 631 601,74 руб., в течение отчетного периода она увеличилась на 3 005 982,47 руб. и на 01.01.2024 составила 1 403 695,84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на конец года по сравнению с показателем на начало года увеличилась на 136 370,0 р</w:t>
      </w:r>
      <w:r w:rsidR="00BA34CF">
        <w:rPr>
          <w:rFonts w:ascii="Times New Roman" w:eastAsia="Times New Roman" w:hAnsi="Times New Roman"/>
          <w:sz w:val="28"/>
          <w:szCs w:val="28"/>
          <w:lang w:eastAsia="ru-RU"/>
        </w:rPr>
        <w:t>уб. и составила 743 678,94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по состоянию на 01.01.2024 года составляет 660 016,9 руб., что соответствует данным, отраженным в бухгалте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ском Балансе (ф. 0503130) и Сведениях о движении нефинансовых активов (ф. 0503168).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21 «Основные средства в эксплуатации» по состоянию на 01.01.2023 составляла 629 244,02 руб., по сост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янию на 01.01.2024 увеличилась на 27 788,40 руб. и составила 657 032,42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Стоимость имущества, полученного в пользование (</w:t>
      </w:r>
      <w:proofErr w:type="spell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забалансовый</w:t>
      </w:r>
      <w:proofErr w:type="spellEnd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01) на конец года не изменилась и составила 401 281,27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</w:t>
      </w:r>
      <w:r w:rsidR="00BA34CF">
        <w:rPr>
          <w:rFonts w:ascii="Times New Roman" w:eastAsia="Times New Roman" w:hAnsi="Times New Roman"/>
          <w:sz w:val="28"/>
          <w:szCs w:val="28"/>
          <w:lang w:eastAsia="ru-RU"/>
        </w:rPr>
        <w:t xml:space="preserve">23 составляла 201 723,45 руб.,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01.01.2024 стоимость материальных запасов увеличилась на 78 809,85 руб. и составила 280 533,30 руб., что соответствует данным об остатках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материальных запасов, отраженных в Балансе (ф. 0503130) и Сведениях о движ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(ф. 0503168).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ценностей на хранении (</w:t>
      </w:r>
      <w:proofErr w:type="spell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забалансовый</w:t>
      </w:r>
      <w:proofErr w:type="spellEnd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02) не изменилась и составила 47 300,49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Расходы будущих периодов по сравнению с показателем на начало года уменьшились на 64 671,37 руб. и на конец года отсутствуют.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01.01.2023 составляла 526 440 705,74 руб., на конец года она увеличилась на 28 799 814,89 руб.  и составила 555 240 520,63 руб., в том числе: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 сумме 511 960 100,0  руб. в связи с субсидиями от Министерства образ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вания и науки Пермского края на плановый период 2024 и 2025 годы;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 сумме 27 477 400,0 руб. в связи с субсидиями Министерства социального развития Пермского края на плановый период 2024 и 2025 годы;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161 386,97 руб. в связи с уменьшением численности получателей по </w:t>
      </w:r>
      <w:proofErr w:type="spell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Суксунской</w:t>
      </w:r>
      <w:proofErr w:type="spellEnd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 субсидий на иные цели (бесплатное горячее питание);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При анализе Сведений о дебиторской и кредиторской задолженности (вид задолженности – дебиторская задолженность) (ф. 0503169) выявлена дебиторская задолженность в сумме 427,0 руб., которая образовалась в связи с переплатой по транспортному налогу за автомобиль, переданный другому учреждению.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01.01.2023 составляла 2 726 244,05 руб., в течение года она увеличилась на 1 787 908,42 руб. и составила 4 514 152,47 руб., в том числе: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 сумме 1 867 164,01 руб. Министерству социального развития Пермского края субвенция на оздоровление и отдых детей по причине отсутствия обращений потребителей;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 сумме 2 646 988,46 руб. Министерству образования и науки Пермского края субсидия на организацию бесплатного горячего питания в связи с уменьш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нием численности получателей;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Расчеты по платежам в бюджет на конец года увеличились на 1 787 908,42 руб. и составили 4 514 152,47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Доходы будущих периодов на конец года увеличились на 29 019 248,36 руб. и составили 554</w:t>
      </w:r>
      <w:r w:rsidR="00BA34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824</w:t>
      </w:r>
      <w:r w:rsidR="00BA34CF" w:rsidRPr="003013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439,26 руб.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По Сведениям о финансовых вложениях получателя бюджетных средств, администратора источников финансирования дефицита бюджета (ф. 0503171) з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Финансовые вложения Управления образования в муниципальные учрежд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ния в проверяемом периоде увеличились на 4</w:t>
      </w:r>
      <w:r w:rsidR="00BA34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871</w:t>
      </w:r>
      <w:r w:rsidR="00BA34CF" w:rsidRPr="003013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301,83 руб. и на 01.01.2024 с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ставили 783</w:t>
      </w:r>
      <w:r w:rsidR="00BA34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238</w:t>
      </w:r>
      <w:r w:rsidR="00BA34CF" w:rsidRPr="003013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175,86 руб., что соответствует данным, отраженным в Балансе (ф. 0503130).</w:t>
      </w:r>
    </w:p>
    <w:p w:rsidR="0030133D" w:rsidRPr="0030133D" w:rsidRDefault="0030133D" w:rsidP="00C8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Пояснительной записке (ф. 0503160) прилагаются Сведения об изменении остатков валюты баланса </w:t>
      </w:r>
      <w:hyperlink r:id="rId12" w:history="1">
        <w:r w:rsidRPr="0030133D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, в которых отражено исправление ошибок прошлых лет.</w:t>
      </w:r>
    </w:p>
    <w:p w:rsidR="0030133D" w:rsidRPr="0030133D" w:rsidRDefault="0030133D" w:rsidP="00C846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Согласно пункту 2.3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Инструкции № 191н</w:t>
      </w: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4 «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бухгалтерской отчетности субъекта бюджетной отчетности»</w:t>
      </w:r>
      <w:r w:rsidRPr="00301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>текстовой части п</w:t>
      </w: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>яснительной записки (</w:t>
      </w:r>
      <w:hyperlink r:id="rId13" w:history="1">
        <w:r w:rsidRPr="0030133D">
          <w:rPr>
            <w:rFonts w:ascii="Times New Roman" w:eastAsiaTheme="minorEastAsia" w:hAnsi="Times New Roman"/>
            <w:sz w:val="28"/>
            <w:szCs w:val="28"/>
            <w:lang w:eastAsia="ru-RU"/>
          </w:rPr>
          <w:t>ф. 0503160</w:t>
        </w:r>
      </w:hyperlink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 xml:space="preserve">), информация по суммам об исправленных ошибках детализирована, при этом не указан код ошибки 03.2 </w:t>
      </w:r>
      <w:r w:rsidR="00BA34C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несвоевременное</w:t>
      </w:r>
      <w:r w:rsidR="00BA34C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0133D">
        <w:rPr>
          <w:rFonts w:ascii="Times New Roman" w:eastAsiaTheme="minorEastAsia" w:hAnsi="Times New Roman"/>
          <w:sz w:val="28"/>
          <w:szCs w:val="28"/>
          <w:lang w:eastAsia="ru-RU"/>
        </w:rPr>
        <w:t>отражение фактов хозяйственной жизни в регистрах бухгалтерского учета.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перечислены следующие формы бюджетной отчетности, не предста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ленные ввиду отсутствия числовых показателей в соответствии с пунктом 8 И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струкции № 191н: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сведения о проведении инвентаризаций </w:t>
      </w:r>
      <w:hyperlink r:id="rId14" w:history="1">
        <w:r w:rsidRPr="0030133D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30133D">
        <w:rPr>
          <w:rFonts w:ascii="Times New Roman" w:hAnsi="Times New Roman"/>
          <w:sz w:val="28"/>
          <w:szCs w:val="28"/>
        </w:rPr>
        <w:t>;</w:t>
      </w:r>
    </w:p>
    <w:p w:rsidR="0030133D" w:rsidRPr="00066AC7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AC7">
        <w:rPr>
          <w:rFonts w:ascii="Times New Roman" w:hAnsi="Times New Roman"/>
          <w:sz w:val="28"/>
          <w:szCs w:val="28"/>
        </w:rPr>
        <w:t>анализ показателей отчетности субъекта бюджетной отчетности (Таблица № 14);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причины увеличения просроченной задолженности (Таблица № 15);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сведения об исполнении мероприятий в рамках целевых программ (ф.0503166);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0133D">
        <w:rPr>
          <w:rFonts w:ascii="Times New Roman" w:hAnsi="Times New Roman"/>
          <w:sz w:val="28"/>
          <w:szCs w:val="28"/>
        </w:rPr>
        <w:t>сведения о целевых иностранных кредитах (ф. 0503167);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справка о суммах консолидируемых поступлений, подлежащих зачислению на счет бюджета (ф. 0503184);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сведения о государственном (муниципальном) долге, предоставленных бюджетных кредитах </w:t>
      </w:r>
      <w:hyperlink r:id="rId15" w:history="1">
        <w:r w:rsidRPr="0030133D">
          <w:rPr>
            <w:rFonts w:ascii="Times New Roman" w:hAnsi="Times New Roman"/>
            <w:sz w:val="28"/>
            <w:szCs w:val="28"/>
          </w:rPr>
          <w:t>(ф. 0503172)</w:t>
        </w:r>
      </w:hyperlink>
      <w:r w:rsidRPr="0030133D">
        <w:rPr>
          <w:rFonts w:ascii="Times New Roman" w:hAnsi="Times New Roman"/>
          <w:sz w:val="28"/>
          <w:szCs w:val="28"/>
        </w:rPr>
        <w:t>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6" w:history="1">
        <w:r w:rsidRPr="0030133D">
          <w:rPr>
            <w:rFonts w:ascii="Times New Roman" w:hAnsi="Times New Roman"/>
            <w:sz w:val="28"/>
            <w:szCs w:val="28"/>
          </w:rPr>
          <w:t>(ф. 0503174)</w:t>
        </w:r>
      </w:hyperlink>
      <w:r w:rsidRPr="0030133D">
        <w:rPr>
          <w:rFonts w:ascii="Times New Roman" w:hAnsi="Times New Roman"/>
          <w:sz w:val="28"/>
          <w:szCs w:val="28"/>
        </w:rPr>
        <w:t>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сведения о принятых и неисполненных обязательствах получателя бюдже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средств </w:t>
      </w:r>
      <w:hyperlink r:id="rId17" w:history="1">
        <w:r w:rsidRPr="0030133D">
          <w:rPr>
            <w:rFonts w:ascii="Times New Roman" w:eastAsia="Times New Roman" w:hAnsi="Times New Roman"/>
            <w:sz w:val="28"/>
            <w:szCs w:val="28"/>
            <w:lang w:eastAsia="ru-RU"/>
          </w:rPr>
          <w:t>(ф. 0503175)</w:t>
        </w:r>
      </w:hyperlink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сведения об остатках денежных средств на счетах получателя бюджетных средств </w:t>
      </w:r>
      <w:hyperlink r:id="rId18" w:history="1">
        <w:r w:rsidRPr="0030133D">
          <w:rPr>
            <w:rFonts w:ascii="Times New Roman" w:hAnsi="Times New Roman"/>
            <w:sz w:val="28"/>
            <w:szCs w:val="28"/>
          </w:rPr>
          <w:t>(ф. 0503178)</w:t>
        </w:r>
      </w:hyperlink>
      <w:r w:rsidRPr="0030133D">
        <w:rPr>
          <w:rFonts w:ascii="Times New Roman" w:hAnsi="Times New Roman"/>
          <w:sz w:val="28"/>
          <w:szCs w:val="28"/>
        </w:rPr>
        <w:t xml:space="preserve"> по бюджетной деятельности, по средствам во временном распоряжении;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>сведения о вложениях в объекты недвижимого имущества, объектах нез</w:t>
      </w:r>
      <w:r w:rsidRPr="0030133D">
        <w:rPr>
          <w:rFonts w:ascii="Times New Roman" w:hAnsi="Times New Roman"/>
          <w:sz w:val="28"/>
          <w:szCs w:val="28"/>
        </w:rPr>
        <w:t>а</w:t>
      </w:r>
      <w:r w:rsidRPr="0030133D">
        <w:rPr>
          <w:rFonts w:ascii="Times New Roman" w:hAnsi="Times New Roman"/>
          <w:sz w:val="28"/>
          <w:szCs w:val="28"/>
        </w:rPr>
        <w:t>вершенного строительства (ф. 0503190);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33D">
        <w:rPr>
          <w:rFonts w:ascii="Times New Roman" w:hAnsi="Times New Roman"/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9" w:history="1">
        <w:r w:rsidRPr="0030133D">
          <w:rPr>
            <w:rFonts w:ascii="Times New Roman" w:hAnsi="Times New Roman"/>
            <w:sz w:val="28"/>
            <w:szCs w:val="28"/>
          </w:rPr>
          <w:t>(ф. 0503296)</w:t>
        </w:r>
      </w:hyperlink>
      <w:r w:rsidRPr="0030133D">
        <w:rPr>
          <w:rFonts w:ascii="Times New Roman" w:hAnsi="Times New Roman"/>
          <w:sz w:val="28"/>
          <w:szCs w:val="28"/>
        </w:rPr>
        <w:t>.</w:t>
      </w:r>
    </w:p>
    <w:p w:rsidR="0030133D" w:rsidRDefault="0030133D" w:rsidP="00C8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3CE" w:rsidRDefault="004223CE" w:rsidP="00066AC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:rsidR="004223CE" w:rsidRDefault="004223CE" w:rsidP="00066AC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895F76">
        <w:rPr>
          <w:rFonts w:ascii="Times New Roman" w:hAnsi="Times New Roman"/>
          <w:b/>
          <w:i/>
          <w:sz w:val="28"/>
          <w:szCs w:val="28"/>
        </w:rPr>
        <w:t>бъект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4223CE" w:rsidRPr="000D3AF4" w:rsidRDefault="004223CE" w:rsidP="00066AC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 контрольного мероприятия</w:t>
      </w:r>
    </w:p>
    <w:p w:rsidR="004223CE" w:rsidRDefault="004223CE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4223CE" w:rsidRPr="00DA4D56" w:rsidRDefault="004223CE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Управлением образования 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результаты контрольного мероприятия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представлены.</w:t>
      </w:r>
    </w:p>
    <w:p w:rsidR="004223CE" w:rsidRDefault="004223CE" w:rsidP="00C8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133D" w:rsidRDefault="00C846B4" w:rsidP="00C8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Выводы</w:t>
      </w:r>
    </w:p>
    <w:p w:rsidR="00066AC7" w:rsidRPr="00C846B4" w:rsidRDefault="00066AC7" w:rsidP="00C8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Думы Суксунского городского округа от 08.12.2022 № 305 «О бюджете Суксунского городского округа на 2023 год и на плановый период 2024 и 2025 годов» за Управлением образования </w:t>
      </w:r>
      <w:r w:rsidR="00C846B4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</w:t>
      </w:r>
      <w:r w:rsidR="00C846B4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C846B4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ци</w:t>
      </w:r>
      <w:r w:rsidR="00C846B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C846B4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городского округа Пермского края</w:t>
      </w:r>
      <w:r w:rsidR="00C846B4"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закреплены доходы бюджета на 2023 год в сумме 339 285 539,32 руб. Фактическое исполнение по доходам за 2023 год составило 336 559 295,27 руб</w:t>
      </w:r>
      <w:proofErr w:type="gramEnd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., или 99,2% утвержденных бюджетных назначений.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Управления образов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на 2023 год составили 452 350 607,97 руб. </w:t>
      </w:r>
      <w:r w:rsidR="00C846B4">
        <w:rPr>
          <w:rFonts w:ascii="Times New Roman" w:eastAsia="Times New Roman" w:hAnsi="Times New Roman"/>
          <w:sz w:val="28"/>
          <w:szCs w:val="28"/>
          <w:lang w:eastAsia="ru-RU"/>
        </w:rPr>
        <w:t>Фактическое исполнение по р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асх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C846B4">
        <w:rPr>
          <w:rFonts w:ascii="Times New Roman" w:eastAsia="Times New Roman" w:hAnsi="Times New Roman"/>
          <w:sz w:val="28"/>
          <w:szCs w:val="28"/>
          <w:lang w:eastAsia="ru-RU"/>
        </w:rPr>
        <w:t>м за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 </w:t>
      </w:r>
      <w:r w:rsidR="00C846B4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447 816 631,11 руб., или 99,0% утвержденных бюдже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ных назначений.</w:t>
      </w:r>
    </w:p>
    <w:p w:rsidR="0030133D" w:rsidRPr="00066AC7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 Состав </w:t>
      </w:r>
      <w:proofErr w:type="gramStart"/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форм бюджетной отчетности Управления образования </w:t>
      </w:r>
      <w:r w:rsidR="00C846B4"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Админ</w:t>
      </w:r>
      <w:r w:rsidR="00C846B4"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="00C846B4"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страции</w:t>
      </w:r>
      <w:proofErr w:type="gramEnd"/>
      <w:r w:rsidR="00C846B4"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Суксунского городского округа Пермского края 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соответствует требован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ям </w:t>
      </w:r>
      <w:r w:rsidRPr="00066AC7">
        <w:rPr>
          <w:rFonts w:ascii="Times New Roman" w:hAnsi="Times New Roman"/>
          <w:spacing w:val="-2"/>
          <w:sz w:val="28"/>
          <w:szCs w:val="28"/>
        </w:rPr>
        <w:t>Инструкции № 191н. Фактов неполноты бюджетной отчетности не установлено.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3. Сроки предоставления </w:t>
      </w:r>
      <w:r w:rsidR="00474FC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отчетности соблюдены.</w:t>
      </w:r>
    </w:p>
    <w:p w:rsidR="0030133D" w:rsidRPr="00066AC7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 </w:t>
      </w:r>
      <w:r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В нарушение</w:t>
      </w:r>
      <w:r w:rsidRPr="00066AC7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пункта 2.3 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Инструкции № 191н</w:t>
      </w:r>
      <w:r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в разделе 4 «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Анализ показ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066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телей бухгалтерской отчетности субъекта бюджетной отчетности»</w:t>
      </w:r>
      <w:r w:rsidRPr="00066A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текстовой части пояснительной записки (</w:t>
      </w:r>
      <w:hyperlink r:id="rId20" w:history="1">
        <w:r w:rsidRPr="00066AC7">
          <w:rPr>
            <w:rFonts w:ascii="Times New Roman" w:eastAsiaTheme="minorEastAsia" w:hAnsi="Times New Roman"/>
            <w:spacing w:val="-2"/>
            <w:sz w:val="28"/>
            <w:szCs w:val="28"/>
            <w:lang w:eastAsia="ru-RU"/>
          </w:rPr>
          <w:t>ф. 0503160</w:t>
        </w:r>
      </w:hyperlink>
      <w:r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), информация по суммам об исправленных ошибках детализирована, при этом не указан код ошибки 03.2 </w:t>
      </w:r>
      <w:r w:rsidR="00474FCB"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–</w:t>
      </w:r>
      <w:r w:rsidRPr="00066AC7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несвоевременное отражение фактов хозяйственной жизни в регистрах бухгалтерского учета.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5. В ходе проверки выявлены нарушения, в целом не оказавшие влияни</w:t>
      </w:r>
      <w:r w:rsidR="00CF33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достоверность бюджетной отчетности Управления образования </w:t>
      </w:r>
      <w:r w:rsidR="00474FCB"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Пермского края 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за 2023 год.</w:t>
      </w: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3D" w:rsidRPr="0030133D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2023 год главного </w:t>
      </w:r>
      <w:proofErr w:type="gramStart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образования Администрации</w:t>
      </w:r>
      <w:proofErr w:type="gramEnd"/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33D">
        <w:rPr>
          <w:rFonts w:ascii="Times New Roman" w:eastAsia="Times New Roman" w:hAnsi="Times New Roman"/>
          <w:sz w:val="28"/>
          <w:szCs w:val="28"/>
          <w:lang w:eastAsia="ru-RU"/>
        </w:rPr>
        <w:t>четность является достоверной.</w:t>
      </w:r>
    </w:p>
    <w:p w:rsidR="0030133D" w:rsidRPr="001E3989" w:rsidRDefault="0030133D" w:rsidP="00C84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C846B4" w:rsidP="00C846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</w:t>
      </w:r>
    </w:p>
    <w:p w:rsidR="00066AC7" w:rsidRPr="00C846B4" w:rsidRDefault="00066AC7" w:rsidP="00C846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35F7C" w:rsidRPr="00474FCB" w:rsidRDefault="00735F7C" w:rsidP="00C846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CB">
        <w:rPr>
          <w:rFonts w:ascii="Times New Roman" w:eastAsia="Times New Roman" w:hAnsi="Times New Roman"/>
          <w:sz w:val="28"/>
          <w:szCs w:val="28"/>
          <w:lang w:eastAsia="ru-RU"/>
        </w:rPr>
        <w:t>1. Направить представление Контрольно-счетной палаты Суксунского г</w:t>
      </w:r>
      <w:r w:rsidRPr="00474F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4FCB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</w:t>
      </w:r>
      <w:r w:rsidR="00047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04C" w:rsidRPr="00474FC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4704C" w:rsidRPr="0030133D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0470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4704C" w:rsidRPr="003013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Администрации Су</w:t>
      </w:r>
      <w:r w:rsidR="0004704C" w:rsidRPr="003013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4704C" w:rsidRPr="0030133D">
        <w:rPr>
          <w:rFonts w:ascii="Times New Roman" w:eastAsia="Times New Roman" w:hAnsi="Times New Roman"/>
          <w:sz w:val="28"/>
          <w:szCs w:val="28"/>
          <w:lang w:eastAsia="ru-RU"/>
        </w:rPr>
        <w:t>сунского г</w:t>
      </w:r>
      <w:r w:rsidR="0004704C" w:rsidRPr="00301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704C" w:rsidRPr="0030133D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</w:t>
      </w:r>
      <w:bookmarkStart w:id="0" w:name="_GoBack"/>
      <w:bookmarkEnd w:id="0"/>
      <w:r w:rsidRPr="00474F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735F7C" w:rsidP="00C846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CB">
        <w:rPr>
          <w:rFonts w:ascii="Times New Roman" w:eastAsia="Times New Roman" w:hAnsi="Times New Roman"/>
          <w:sz w:val="28"/>
          <w:szCs w:val="28"/>
          <w:lang w:eastAsia="ru-RU"/>
        </w:rPr>
        <w:t>2. Направить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715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9F1" w:rsidRDefault="003559F1" w:rsidP="00474FCB">
      <w:pPr>
        <w:pStyle w:val="21"/>
        <w:spacing w:line="240" w:lineRule="exact"/>
        <w:ind w:firstLine="0"/>
        <w:jc w:val="left"/>
      </w:pPr>
    </w:p>
    <w:p w:rsidR="00D43542" w:rsidRPr="006D2F8D" w:rsidRDefault="00D43542" w:rsidP="001754EE">
      <w:pPr>
        <w:pStyle w:val="21"/>
        <w:spacing w:line="240" w:lineRule="exact"/>
        <w:ind w:firstLine="0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474FCB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="00474FCB">
        <w:rPr>
          <w:rFonts w:ascii="Times New Roman" w:hAnsi="Times New Roman"/>
          <w:sz w:val="28"/>
          <w:szCs w:val="28"/>
        </w:rPr>
        <w:t>а 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</w:t>
      </w:r>
      <w:r w:rsidR="00C26D7D">
        <w:rPr>
          <w:rFonts w:ascii="Times New Roman" w:hAnsi="Times New Roman"/>
          <w:sz w:val="28"/>
          <w:szCs w:val="28"/>
        </w:rPr>
        <w:t xml:space="preserve">          </w:t>
      </w:r>
      <w:r w:rsidRPr="006D2F8D">
        <w:rPr>
          <w:rFonts w:ascii="Times New Roman" w:hAnsi="Times New Roman"/>
          <w:sz w:val="28"/>
          <w:szCs w:val="28"/>
        </w:rPr>
        <w:t xml:space="preserve">      О.Г. Туголукова</w:t>
      </w:r>
    </w:p>
    <w:sectPr w:rsidR="00A816AB" w:rsidRPr="006D2F8D" w:rsidSect="00C846B4">
      <w:headerReference w:type="default" r:id="rId21"/>
      <w:headerReference w:type="firs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05" w:rsidRDefault="00F94A05" w:rsidP="004F76E4">
      <w:pPr>
        <w:spacing w:after="0" w:line="240" w:lineRule="auto"/>
      </w:pPr>
      <w:r>
        <w:separator/>
      </w:r>
    </w:p>
  </w:endnote>
  <w:endnote w:type="continuationSeparator" w:id="0">
    <w:p w:rsidR="00F94A05" w:rsidRDefault="00F94A05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05" w:rsidRDefault="00F94A05" w:rsidP="004F76E4">
      <w:pPr>
        <w:spacing w:after="0" w:line="240" w:lineRule="auto"/>
      </w:pPr>
      <w:r>
        <w:separator/>
      </w:r>
    </w:p>
  </w:footnote>
  <w:footnote w:type="continuationSeparator" w:id="0">
    <w:p w:rsidR="00F94A05" w:rsidRDefault="00F94A05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46B4" w:rsidRPr="00255904" w:rsidRDefault="00C846B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4704C">
          <w:rPr>
            <w:rFonts w:ascii="Times New Roman" w:hAnsi="Times New Roman"/>
            <w:noProof/>
            <w:sz w:val="28"/>
            <w:szCs w:val="28"/>
          </w:rPr>
          <w:t>14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846B4" w:rsidRDefault="00C846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4" w:rsidRDefault="00C846B4">
    <w:pPr>
      <w:pStyle w:val="aa"/>
      <w:jc w:val="center"/>
    </w:pPr>
  </w:p>
  <w:p w:rsidR="00C846B4" w:rsidRDefault="00C846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0D64"/>
    <w:rsid w:val="00042010"/>
    <w:rsid w:val="00042ED5"/>
    <w:rsid w:val="00043F6F"/>
    <w:rsid w:val="0004704C"/>
    <w:rsid w:val="00047FE5"/>
    <w:rsid w:val="0005252D"/>
    <w:rsid w:val="000525A1"/>
    <w:rsid w:val="00057264"/>
    <w:rsid w:val="00061881"/>
    <w:rsid w:val="0006361C"/>
    <w:rsid w:val="00066AC7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20B5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754EE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989"/>
    <w:rsid w:val="001E3B5B"/>
    <w:rsid w:val="001E4986"/>
    <w:rsid w:val="001E5276"/>
    <w:rsid w:val="001E6904"/>
    <w:rsid w:val="001F328E"/>
    <w:rsid w:val="001F34A6"/>
    <w:rsid w:val="001F4C55"/>
    <w:rsid w:val="001F6662"/>
    <w:rsid w:val="0020408F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2740C"/>
    <w:rsid w:val="0023165D"/>
    <w:rsid w:val="00233452"/>
    <w:rsid w:val="00236C69"/>
    <w:rsid w:val="00240872"/>
    <w:rsid w:val="00240B4C"/>
    <w:rsid w:val="002447C9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67C2E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3105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30133D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4887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3782"/>
    <w:rsid w:val="003946DE"/>
    <w:rsid w:val="003958FB"/>
    <w:rsid w:val="00396E9A"/>
    <w:rsid w:val="003A0D37"/>
    <w:rsid w:val="003A36E9"/>
    <w:rsid w:val="003B291A"/>
    <w:rsid w:val="003B3AB9"/>
    <w:rsid w:val="003B47AC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5D56"/>
    <w:rsid w:val="003F5E61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23CE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3B6F"/>
    <w:rsid w:val="004674E9"/>
    <w:rsid w:val="00471551"/>
    <w:rsid w:val="00473932"/>
    <w:rsid w:val="00474FCB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4115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0DF9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248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17FA"/>
    <w:rsid w:val="005E2BB7"/>
    <w:rsid w:val="005E5D77"/>
    <w:rsid w:val="005E5F6D"/>
    <w:rsid w:val="005F14C8"/>
    <w:rsid w:val="005F1C21"/>
    <w:rsid w:val="005F1C64"/>
    <w:rsid w:val="005F501F"/>
    <w:rsid w:val="005F7953"/>
    <w:rsid w:val="00604091"/>
    <w:rsid w:val="00607729"/>
    <w:rsid w:val="00615179"/>
    <w:rsid w:val="00615A61"/>
    <w:rsid w:val="00615B35"/>
    <w:rsid w:val="00617241"/>
    <w:rsid w:val="0061768A"/>
    <w:rsid w:val="00617B7E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39DE"/>
    <w:rsid w:val="00657131"/>
    <w:rsid w:val="00660CFC"/>
    <w:rsid w:val="00661F01"/>
    <w:rsid w:val="0066300B"/>
    <w:rsid w:val="00667142"/>
    <w:rsid w:val="00667A5C"/>
    <w:rsid w:val="00670618"/>
    <w:rsid w:val="00670BB3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0DA3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0910"/>
    <w:rsid w:val="00754524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565C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277E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0D69"/>
    <w:rsid w:val="008C2375"/>
    <w:rsid w:val="008C4BEB"/>
    <w:rsid w:val="008C5267"/>
    <w:rsid w:val="008D3F30"/>
    <w:rsid w:val="008E0EDA"/>
    <w:rsid w:val="008E252B"/>
    <w:rsid w:val="008E6E93"/>
    <w:rsid w:val="008F5A10"/>
    <w:rsid w:val="00901AD9"/>
    <w:rsid w:val="00906B91"/>
    <w:rsid w:val="009079F7"/>
    <w:rsid w:val="009140B3"/>
    <w:rsid w:val="00914822"/>
    <w:rsid w:val="009208B0"/>
    <w:rsid w:val="00921EA9"/>
    <w:rsid w:val="00922FCD"/>
    <w:rsid w:val="00924E43"/>
    <w:rsid w:val="00925FF0"/>
    <w:rsid w:val="00930191"/>
    <w:rsid w:val="0093120C"/>
    <w:rsid w:val="009422E1"/>
    <w:rsid w:val="009447A0"/>
    <w:rsid w:val="00945101"/>
    <w:rsid w:val="00961659"/>
    <w:rsid w:val="00962201"/>
    <w:rsid w:val="00963A4E"/>
    <w:rsid w:val="00963D2E"/>
    <w:rsid w:val="00975265"/>
    <w:rsid w:val="00976B0E"/>
    <w:rsid w:val="00976DF2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B7178"/>
    <w:rsid w:val="009C30B2"/>
    <w:rsid w:val="009C3944"/>
    <w:rsid w:val="009C55D9"/>
    <w:rsid w:val="009C6384"/>
    <w:rsid w:val="009C67C0"/>
    <w:rsid w:val="009C7131"/>
    <w:rsid w:val="009D092A"/>
    <w:rsid w:val="009D2C38"/>
    <w:rsid w:val="009D478D"/>
    <w:rsid w:val="009D5116"/>
    <w:rsid w:val="009D5504"/>
    <w:rsid w:val="009D7FCD"/>
    <w:rsid w:val="009E019E"/>
    <w:rsid w:val="009E25A0"/>
    <w:rsid w:val="009E7D90"/>
    <w:rsid w:val="009F0731"/>
    <w:rsid w:val="009F1A2C"/>
    <w:rsid w:val="009F5CAD"/>
    <w:rsid w:val="009F619E"/>
    <w:rsid w:val="009F7692"/>
    <w:rsid w:val="00A003DB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3CC1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1300"/>
    <w:rsid w:val="00AC664C"/>
    <w:rsid w:val="00AC68D3"/>
    <w:rsid w:val="00AD5320"/>
    <w:rsid w:val="00AE144F"/>
    <w:rsid w:val="00AE1D5C"/>
    <w:rsid w:val="00AE6E69"/>
    <w:rsid w:val="00AF2073"/>
    <w:rsid w:val="00AF24B7"/>
    <w:rsid w:val="00AF4B45"/>
    <w:rsid w:val="00AF7968"/>
    <w:rsid w:val="00B054EF"/>
    <w:rsid w:val="00B058BF"/>
    <w:rsid w:val="00B0648D"/>
    <w:rsid w:val="00B11297"/>
    <w:rsid w:val="00B12015"/>
    <w:rsid w:val="00B14A35"/>
    <w:rsid w:val="00B15BCC"/>
    <w:rsid w:val="00B16061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0813"/>
    <w:rsid w:val="00B72E47"/>
    <w:rsid w:val="00B75DCF"/>
    <w:rsid w:val="00B7662C"/>
    <w:rsid w:val="00B8161C"/>
    <w:rsid w:val="00B81687"/>
    <w:rsid w:val="00B82A64"/>
    <w:rsid w:val="00B8351E"/>
    <w:rsid w:val="00B8378A"/>
    <w:rsid w:val="00B8490C"/>
    <w:rsid w:val="00B90B66"/>
    <w:rsid w:val="00B968EE"/>
    <w:rsid w:val="00B96934"/>
    <w:rsid w:val="00BA00AC"/>
    <w:rsid w:val="00BA0B42"/>
    <w:rsid w:val="00BA34CF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3C4C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4514"/>
    <w:rsid w:val="00C261E2"/>
    <w:rsid w:val="00C26D7D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846B4"/>
    <w:rsid w:val="00CA13B6"/>
    <w:rsid w:val="00CA3660"/>
    <w:rsid w:val="00CA72DB"/>
    <w:rsid w:val="00CB1730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38B"/>
    <w:rsid w:val="00CF3952"/>
    <w:rsid w:val="00CF7814"/>
    <w:rsid w:val="00D02A5C"/>
    <w:rsid w:val="00D03026"/>
    <w:rsid w:val="00D03669"/>
    <w:rsid w:val="00D061B9"/>
    <w:rsid w:val="00D06B1A"/>
    <w:rsid w:val="00D15F9C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46210"/>
    <w:rsid w:val="00D61231"/>
    <w:rsid w:val="00D65630"/>
    <w:rsid w:val="00D70957"/>
    <w:rsid w:val="00D70F4E"/>
    <w:rsid w:val="00D718BE"/>
    <w:rsid w:val="00D73D01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2E84"/>
    <w:rsid w:val="00DF357D"/>
    <w:rsid w:val="00DF76EE"/>
    <w:rsid w:val="00E01049"/>
    <w:rsid w:val="00E019FA"/>
    <w:rsid w:val="00E040F6"/>
    <w:rsid w:val="00E07708"/>
    <w:rsid w:val="00E10E77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746AB"/>
    <w:rsid w:val="00E74F22"/>
    <w:rsid w:val="00E8182F"/>
    <w:rsid w:val="00E90220"/>
    <w:rsid w:val="00E91C5F"/>
    <w:rsid w:val="00E9344C"/>
    <w:rsid w:val="00E962E4"/>
    <w:rsid w:val="00EA0381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4A05"/>
    <w:rsid w:val="00F9548F"/>
    <w:rsid w:val="00FA1C98"/>
    <w:rsid w:val="00FA2E22"/>
    <w:rsid w:val="00FA64CE"/>
    <w:rsid w:val="00FA783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9777&amp;date=10.03.2023&amp;dst=144&amp;field=134" TargetMode="External"/><Relationship Id="rId18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7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0" Type="http://schemas.openxmlformats.org/officeDocument/2006/relationships/hyperlink" Target="https://login.consultant.ru/link/?req=doc&amp;base=LAW&amp;n=439777&amp;date=10.03.2023&amp;dst=14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4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2EE8-8478-4CFA-A16D-C00DADF4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293</cp:revision>
  <cp:lastPrinted>2024-05-24T08:49:00Z</cp:lastPrinted>
  <dcterms:created xsi:type="dcterms:W3CDTF">2018-08-17T10:08:00Z</dcterms:created>
  <dcterms:modified xsi:type="dcterms:W3CDTF">2024-05-24T10:02:00Z</dcterms:modified>
</cp:coreProperties>
</file>