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AC2F26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</w:t>
      </w:r>
    </w:p>
    <w:p w:rsidR="00AC2F26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отчетности</w:t>
      </w:r>
      <w:r w:rsidR="00AC2F26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 xml:space="preserve">главного администратора </w:t>
      </w:r>
      <w:proofErr w:type="gramStart"/>
      <w:r w:rsidRPr="00B75DCF">
        <w:rPr>
          <w:rFonts w:ascii="Times New Roman" w:hAnsi="Times New Roman"/>
          <w:b/>
          <w:sz w:val="28"/>
          <w:szCs w:val="28"/>
        </w:rPr>
        <w:t>бюджетных</w:t>
      </w:r>
      <w:proofErr w:type="gramEnd"/>
    </w:p>
    <w:p w:rsidR="00AC2F26" w:rsidRDefault="00B75DCF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средств</w:t>
      </w:r>
      <w:r w:rsidR="00AC2F26">
        <w:rPr>
          <w:rFonts w:ascii="Times New Roman" w:hAnsi="Times New Roman"/>
          <w:b/>
          <w:sz w:val="28"/>
          <w:szCs w:val="28"/>
        </w:rPr>
        <w:t xml:space="preserve"> </w:t>
      </w:r>
      <w:r w:rsidR="00FE7122">
        <w:rPr>
          <w:rFonts w:ascii="Times New Roman" w:hAnsi="Times New Roman"/>
          <w:b/>
          <w:sz w:val="28"/>
          <w:szCs w:val="28"/>
        </w:rPr>
        <w:t>Думы</w:t>
      </w:r>
      <w:r w:rsidR="00886415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 xml:space="preserve">Суксунского </w:t>
      </w:r>
      <w:r w:rsidR="00886415">
        <w:rPr>
          <w:rFonts w:ascii="Times New Roman" w:hAnsi="Times New Roman"/>
          <w:b/>
          <w:sz w:val="28"/>
          <w:szCs w:val="28"/>
        </w:rPr>
        <w:t>городск</w:t>
      </w:r>
      <w:r w:rsidRPr="00B75DCF">
        <w:rPr>
          <w:rFonts w:ascii="Times New Roman" w:hAnsi="Times New Roman"/>
          <w:b/>
          <w:sz w:val="28"/>
          <w:szCs w:val="28"/>
        </w:rPr>
        <w:t xml:space="preserve">ого </w:t>
      </w:r>
      <w:r w:rsidR="00886415">
        <w:rPr>
          <w:rFonts w:ascii="Times New Roman" w:hAnsi="Times New Roman"/>
          <w:b/>
          <w:sz w:val="28"/>
          <w:szCs w:val="28"/>
        </w:rPr>
        <w:t>округ</w:t>
      </w:r>
      <w:r w:rsidRPr="00B75DCF">
        <w:rPr>
          <w:rFonts w:ascii="Times New Roman" w:hAnsi="Times New Roman"/>
          <w:b/>
          <w:sz w:val="28"/>
          <w:szCs w:val="28"/>
        </w:rPr>
        <w:t>а</w:t>
      </w:r>
    </w:p>
    <w:p w:rsidR="00B75DCF" w:rsidRPr="00B75DCF" w:rsidRDefault="00B75DCF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F0577B">
        <w:rPr>
          <w:rFonts w:ascii="Times New Roman" w:hAnsi="Times New Roman"/>
          <w:b/>
          <w:sz w:val="28"/>
          <w:szCs w:val="28"/>
        </w:rPr>
        <w:t>3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AD5320">
        <w:rPr>
          <w:rFonts w:ascii="Times New Roman" w:hAnsi="Times New Roman"/>
          <w:sz w:val="28"/>
          <w:szCs w:val="28"/>
        </w:rPr>
        <w:t>_</w:t>
      </w:r>
      <w:r w:rsidR="004510D0">
        <w:rPr>
          <w:rFonts w:ascii="Times New Roman" w:hAnsi="Times New Roman"/>
          <w:sz w:val="28"/>
          <w:szCs w:val="28"/>
        </w:rPr>
        <w:t>_</w:t>
      </w:r>
      <w:r w:rsidR="00AD5320">
        <w:rPr>
          <w:rFonts w:ascii="Times New Roman" w:hAnsi="Times New Roman"/>
          <w:sz w:val="28"/>
          <w:szCs w:val="28"/>
        </w:rPr>
        <w:t>_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_____</w:t>
      </w:r>
      <w:r w:rsidR="004510D0">
        <w:rPr>
          <w:rFonts w:ascii="Times New Roman" w:hAnsi="Times New Roman"/>
          <w:sz w:val="28"/>
          <w:szCs w:val="28"/>
        </w:rPr>
        <w:t>_______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F0577B">
        <w:rPr>
          <w:rFonts w:ascii="Times New Roman" w:hAnsi="Times New Roman"/>
          <w:sz w:val="28"/>
          <w:szCs w:val="28"/>
        </w:rPr>
        <w:t>4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___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F0577B" w:rsidRPr="00AC2F26" w:rsidRDefault="001B7F56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82658"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E82658" w:rsidRPr="00AC2F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 на 202</w:t>
      </w:r>
      <w:r w:rsidR="00F0577B" w:rsidRPr="00AC2F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0CB7"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660CFC"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F0577B"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расп</w:t>
      </w:r>
      <w:r w:rsidR="00F0577B"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="00F0577B"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ряжения Контрольно-счетной палаты Суксунского городского округа Пермского края от 02.04.2024 № 11 «О проведении внешней проверки бюджетной отчетности Думы Суксунского городского округа за 2023 год» проведено контрольное мер</w:t>
      </w:r>
      <w:r w:rsidR="00F0577B"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="00F0577B"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приятие  внешняя проверка бюджетной отчетности главного администратора бю</w:t>
      </w:r>
      <w:r w:rsidR="00F0577B"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</w:t>
      </w:r>
      <w:r w:rsidR="00F0577B"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жетных средств Думы Суксунского городского округа (далее – Дума</w:t>
      </w:r>
      <w:proofErr w:type="gramEnd"/>
      <w:r w:rsidR="00F0577B"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 за 2023 год.</w:t>
      </w:r>
    </w:p>
    <w:p w:rsidR="00AC2F26" w:rsidRDefault="00AC2F26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96" w:rsidRPr="00D257C2" w:rsidRDefault="00B8161C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257C2">
        <w:rPr>
          <w:rFonts w:ascii="Times New Roman" w:hAnsi="Times New Roman"/>
          <w:b/>
          <w:i/>
          <w:sz w:val="28"/>
          <w:szCs w:val="28"/>
        </w:rPr>
        <w:t>Цел</w:t>
      </w:r>
      <w:r w:rsidR="003E4E33" w:rsidRPr="00D257C2">
        <w:rPr>
          <w:rFonts w:ascii="Times New Roman" w:hAnsi="Times New Roman"/>
          <w:b/>
          <w:i/>
          <w:sz w:val="28"/>
          <w:szCs w:val="28"/>
        </w:rPr>
        <w:t>ь</w:t>
      </w:r>
      <w:r w:rsidR="00D257C2">
        <w:rPr>
          <w:rFonts w:ascii="Times New Roman" w:hAnsi="Times New Roman"/>
          <w:b/>
          <w:i/>
          <w:sz w:val="28"/>
          <w:szCs w:val="28"/>
        </w:rPr>
        <w:t xml:space="preserve"> контрольного мероприятия</w:t>
      </w:r>
    </w:p>
    <w:p w:rsidR="00AC2F26" w:rsidRDefault="00AC2F26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Установить степень полноты бюджетной отчетности за 2023 год, ее соо</w:t>
      </w:r>
      <w:r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ветствие требованиям статей 264.1, 264.2 Бюджетного кодекса Российской Федер</w:t>
      </w:r>
      <w:r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AC2F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ции (далее – БК РФ)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, Инструкции о порядке составления и представления годовой, квартальной и месячной отчетности об исполнении бюджетов бюджетной сист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утвержденной приказом Министерства финансов Ро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от 28.12.2010 № 191н «Об утверждении Инструкции о поря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ке составления и представления годовой, квартальной и месячной</w:t>
      </w:r>
      <w:proofErr w:type="gramEnd"/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об исполнении бюджетов бюджетной системы Российской Федерации» (далее – И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струкция № 191н), по составу и содержанию.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2023 год.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Думы пр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водилась на выборочной основе с применением принципа существенности и включала в себя анализ, сопоставление и оценку годовой бюджетной отчетности, данных Финансового управления Администрации Суксунского городского округа Пермского края об исполнении бюджета и других материалов.</w:t>
      </w:r>
    </w:p>
    <w:p w:rsidR="005766E9" w:rsidRPr="00AC2F26" w:rsidRDefault="005766E9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Pr="00D257C2" w:rsidRDefault="00283D91" w:rsidP="00AC2F26">
      <w:pPr>
        <w:pStyle w:val="21"/>
        <w:widowControl w:val="0"/>
        <w:ind w:firstLine="709"/>
        <w:rPr>
          <w:b/>
          <w:i/>
        </w:rPr>
      </w:pPr>
      <w:r w:rsidRPr="00D257C2">
        <w:rPr>
          <w:b/>
          <w:i/>
        </w:rPr>
        <w:t>Краткая информация об о</w:t>
      </w:r>
      <w:r w:rsidR="00D257C2">
        <w:rPr>
          <w:b/>
          <w:i/>
        </w:rPr>
        <w:t>бъекте контрольного мероприятия</w:t>
      </w:r>
    </w:p>
    <w:p w:rsidR="00BC3BD3" w:rsidRPr="00AC2F26" w:rsidRDefault="00BC3BD3" w:rsidP="00AC2F26">
      <w:pPr>
        <w:pStyle w:val="21"/>
        <w:widowControl w:val="0"/>
        <w:ind w:firstLine="709"/>
        <w:rPr>
          <w:b/>
        </w:rPr>
      </w:pP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Дума является выборным представительным органом местного самоупра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ления, осуществляет свои права в пределах, установленных Конституцией и де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ствующим законодательством Российской Федерации, Пермского края, Уставом Суксунского городского округа, принятого решением Думы Суксунского горо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ского округа от 31.10.2019 № 38 (далее – Устав).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видом деятельности является: Деятельность органов местного 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по управлению вопросами общего характера.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Дума не имеет подведомственных участников бюджетного процесса, учр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ждений и муниципальных унитарных предприятий.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Дума Суксунского городского округа.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Дума Суксунского городского округа.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Дума зарегистрирована в ЕГРЮЛ 27.09.2019 года.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617560, Пермский край, Суксунский район, рабочий поселок Суксун, улица Карла Маркса, 4.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>На основании решения Думы Суксунского городского округа от 22.06.2023 № 334 «Об избрании председателя Думы Суксунского городского округа» пре</w:t>
      </w:r>
      <w:r w:rsidRPr="00AC2F26">
        <w:rPr>
          <w:rFonts w:ascii="Times New Roman" w:hAnsi="Times New Roman"/>
          <w:sz w:val="28"/>
          <w:szCs w:val="28"/>
        </w:rPr>
        <w:t>д</w:t>
      </w:r>
      <w:r w:rsidRPr="00AC2F26">
        <w:rPr>
          <w:rFonts w:ascii="Times New Roman" w:hAnsi="Times New Roman"/>
          <w:sz w:val="28"/>
          <w:szCs w:val="28"/>
        </w:rPr>
        <w:t>седателем Думы Суксунского городского округа был избран Гомзяков Владимир Александрович.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F26">
        <w:rPr>
          <w:rFonts w:ascii="Times New Roman" w:hAnsi="Times New Roman"/>
          <w:sz w:val="28"/>
          <w:szCs w:val="28"/>
        </w:rPr>
        <w:t>В соответствии с пунктом  10.1 статьи 161 Бюджетного кодекса Российской Федерации, частью  3 статьи 7 Федерального закона от 06.12.2011 № 402-ФЗ «О бухгалтерском учете», ведение бюджетного, налогового, статистического учета, планирование бюджетной сметы и составление отчетности передано МКУ «ЦБ Суксунского городского округа» по Соглашению  от 13.01.2020 № 6 об оказании услуг по ведению бюджетного, налогового, статистического учета, планирования бюджетной сметы и составления отчетности.</w:t>
      </w:r>
      <w:proofErr w:type="gramEnd"/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>Бюджетный учет в проверяемом учреждении ведется в соответствии с Зак</w:t>
      </w:r>
      <w:r w:rsidRPr="00AC2F26">
        <w:rPr>
          <w:rFonts w:ascii="Times New Roman" w:hAnsi="Times New Roman"/>
          <w:sz w:val="28"/>
          <w:szCs w:val="28"/>
        </w:rPr>
        <w:t>о</w:t>
      </w:r>
      <w:r w:rsidRPr="00AC2F26">
        <w:rPr>
          <w:rFonts w:ascii="Times New Roman" w:hAnsi="Times New Roman"/>
          <w:sz w:val="28"/>
          <w:szCs w:val="28"/>
        </w:rPr>
        <w:t>ном от 06.12.2011 г. № 402-ФЗ «О бухгалтерском учете», Положением по единой учетной политике, утвержденной приказом МКУ «ЦБ Суксунского городского округа» от 30.12.2020 г. № 195,федеральными стандартами и иными нормативно-правовыми актами.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 xml:space="preserve">Обязанности главного бухгалтера по ведению бюджетного учета возложены на Щелконогову Наталью Юрьевну приказом МКУ «ЦБ Суксунского городского округа» от 29.04.2021 г. № 21. 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AC2F26">
        <w:rPr>
          <w:rFonts w:ascii="Times New Roman" w:hAnsi="Times New Roman"/>
          <w:sz w:val="28"/>
          <w:szCs w:val="28"/>
        </w:rPr>
        <w:t>На основании приказа МКУ «ЦБ Суксунского городского округа» от 02.10.2023 г. № 84 «О временном приеме на работу Пономаревой Т.И.», а также приказа МКУ «ЦБ Суксунского городского округа» от 02.10.2023 г. № 56 «О вн</w:t>
      </w:r>
      <w:r w:rsidRPr="00AC2F26">
        <w:rPr>
          <w:rFonts w:ascii="Times New Roman" w:hAnsi="Times New Roman"/>
          <w:sz w:val="28"/>
          <w:szCs w:val="28"/>
        </w:rPr>
        <w:t>е</w:t>
      </w:r>
      <w:r w:rsidRPr="00AC2F26">
        <w:rPr>
          <w:rFonts w:ascii="Times New Roman" w:hAnsi="Times New Roman"/>
          <w:sz w:val="28"/>
          <w:szCs w:val="28"/>
        </w:rPr>
        <w:t>сении изменений в приказ Муниципального казенного учреждения «Централиз</w:t>
      </w:r>
      <w:r w:rsidRPr="00AC2F26">
        <w:rPr>
          <w:rFonts w:ascii="Times New Roman" w:hAnsi="Times New Roman"/>
          <w:sz w:val="28"/>
          <w:szCs w:val="28"/>
        </w:rPr>
        <w:t>о</w:t>
      </w:r>
      <w:r w:rsidRPr="00AC2F26">
        <w:rPr>
          <w:rFonts w:ascii="Times New Roman" w:hAnsi="Times New Roman"/>
          <w:sz w:val="28"/>
          <w:szCs w:val="28"/>
        </w:rPr>
        <w:t>ванная бухгалтерия Суксунского городского округа Пермского края»  от 21.10.2020 г. № 139 «О назначении ответственных лиц с правом второй подписи в</w:t>
      </w:r>
      <w:proofErr w:type="gramEnd"/>
      <w:r w:rsidRPr="00AC2F26">
        <w:rPr>
          <w:rFonts w:ascii="Times New Roman" w:hAnsi="Times New Roman"/>
          <w:sz w:val="28"/>
          <w:szCs w:val="28"/>
        </w:rPr>
        <w:t xml:space="preserve"> платежных и бухгалтерских </w:t>
      </w:r>
      <w:proofErr w:type="gramStart"/>
      <w:r w:rsidRPr="00AC2F26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AC2F26">
        <w:rPr>
          <w:rFonts w:ascii="Times New Roman" w:hAnsi="Times New Roman"/>
          <w:sz w:val="28"/>
          <w:szCs w:val="28"/>
        </w:rPr>
        <w:t>»  в период с 02.10.2023 года по насто</w:t>
      </w:r>
      <w:r w:rsidRPr="00AC2F26">
        <w:rPr>
          <w:rFonts w:ascii="Times New Roman" w:hAnsi="Times New Roman"/>
          <w:sz w:val="28"/>
          <w:szCs w:val="28"/>
        </w:rPr>
        <w:t>я</w:t>
      </w:r>
      <w:r w:rsidRPr="00AC2F26">
        <w:rPr>
          <w:rFonts w:ascii="Times New Roman" w:hAnsi="Times New Roman"/>
          <w:sz w:val="28"/>
          <w:szCs w:val="28"/>
        </w:rPr>
        <w:t>щее время обязанности главного бухгалтера возложены на Т.И. Пономареву.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C2F26">
        <w:rPr>
          <w:rFonts w:ascii="Times New Roman" w:hAnsi="Times New Roman"/>
          <w:spacing w:val="-4"/>
          <w:sz w:val="28"/>
          <w:szCs w:val="28"/>
        </w:rPr>
        <w:t>Таким образом, в соответствии с пунктом 6 Инструкции № 191н право подп</w:t>
      </w:r>
      <w:r w:rsidRPr="00AC2F26">
        <w:rPr>
          <w:rFonts w:ascii="Times New Roman" w:hAnsi="Times New Roman"/>
          <w:spacing w:val="-4"/>
          <w:sz w:val="28"/>
          <w:szCs w:val="28"/>
        </w:rPr>
        <w:t>и</w:t>
      </w:r>
      <w:r w:rsidRPr="00AC2F26">
        <w:rPr>
          <w:rFonts w:ascii="Times New Roman" w:hAnsi="Times New Roman"/>
          <w:spacing w:val="-4"/>
          <w:sz w:val="28"/>
          <w:szCs w:val="28"/>
        </w:rPr>
        <w:t>си бюджетной отчетности Думы Суксунского городского округа за 2023 год имеют: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 Суксунского городского округа Гомзяков Владимир Александрович;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AC2F26">
        <w:rPr>
          <w:rFonts w:ascii="Times New Roman" w:hAnsi="Times New Roman"/>
          <w:sz w:val="28"/>
          <w:szCs w:val="28"/>
        </w:rPr>
        <w:t>д</w:t>
      </w:r>
      <w:r w:rsidRPr="00AC2F26">
        <w:rPr>
          <w:rFonts w:ascii="Times New Roman" w:hAnsi="Times New Roman"/>
          <w:sz w:val="28"/>
          <w:szCs w:val="28"/>
        </w:rPr>
        <w:t>мила Ивановна;</w:t>
      </w:r>
    </w:p>
    <w:p w:rsidR="00F0577B" w:rsidRPr="00AC2F26" w:rsidRDefault="00F0577B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Пономар</w:t>
      </w:r>
      <w:r w:rsidRPr="00AC2F26">
        <w:rPr>
          <w:rFonts w:ascii="Times New Roman" w:hAnsi="Times New Roman"/>
          <w:sz w:val="28"/>
          <w:szCs w:val="28"/>
        </w:rPr>
        <w:t>е</w:t>
      </w:r>
      <w:r w:rsidRPr="00AC2F26">
        <w:rPr>
          <w:rFonts w:ascii="Times New Roman" w:hAnsi="Times New Roman"/>
          <w:sz w:val="28"/>
          <w:szCs w:val="28"/>
        </w:rPr>
        <w:t>ва Тамара Ивановна,  на которую возложены обязанности главного бухгалтера по ведению бюджетного учета Думы Суксунского городского округа.</w:t>
      </w:r>
    </w:p>
    <w:p w:rsidR="005C4C09" w:rsidRPr="00AC2F26" w:rsidRDefault="00AC2F26" w:rsidP="00AC2F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E256D1" w:rsidRPr="00AC2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AC2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AC2F26" w:rsidRDefault="00C3263D" w:rsidP="00AC2F26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Дума Суксунского городского округа в</w:t>
      </w:r>
      <w:r w:rsidRPr="00AC2F26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08.12.2022 № 305 «О бюджете Суксунского г</w:t>
      </w:r>
      <w:r w:rsidRPr="00AC2F26">
        <w:rPr>
          <w:rFonts w:ascii="Times New Roman" w:eastAsiaTheme="minorHAnsi" w:hAnsi="Times New Roman"/>
          <w:sz w:val="28"/>
          <w:szCs w:val="28"/>
        </w:rPr>
        <w:t>о</w:t>
      </w:r>
      <w:r w:rsidRPr="00AC2F26">
        <w:rPr>
          <w:rFonts w:ascii="Times New Roman" w:eastAsiaTheme="minorHAnsi" w:hAnsi="Times New Roman"/>
          <w:sz w:val="28"/>
          <w:szCs w:val="28"/>
        </w:rPr>
        <w:t xml:space="preserve">родского округа на 2023 год и на плановый период 2024 и 2025 годов» (далее – Решение о бюджете) 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средств.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деятельности представительного органа  Суксу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осуществляется за счет средств местного бюджета.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Касса для выдачи наличных сре</w:t>
      </w:r>
      <w:proofErr w:type="gramStart"/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дств в пр</w:t>
      </w:r>
      <w:proofErr w:type="gramEnd"/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оверяемом учреждении отсутств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ет, все расчеты осуществляются в безналичном порядке.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Годовая бюджетная отчетность Думы Суксунского городского округа за 2023 год представлена в составе, предусмотренном подпунктом 11.1 пункта 11 Инструкции № 191н: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отчет об исполнении бюджета главного распорядителя, распорядителя, п</w:t>
      </w:r>
      <w:r w:rsidRPr="00AC2F26">
        <w:rPr>
          <w:rFonts w:ascii="Times New Roman" w:eastAsiaTheme="minorHAnsi" w:hAnsi="Times New Roman"/>
          <w:sz w:val="28"/>
          <w:szCs w:val="28"/>
        </w:rPr>
        <w:t>о</w:t>
      </w:r>
      <w:r w:rsidRPr="00AC2F26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AC2F26">
        <w:rPr>
          <w:rFonts w:ascii="Times New Roman" w:eastAsiaTheme="minorHAnsi" w:hAnsi="Times New Roman"/>
          <w:sz w:val="28"/>
          <w:szCs w:val="28"/>
        </w:rPr>
        <w:t>и</w:t>
      </w:r>
      <w:r w:rsidRPr="00AC2F26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отчет о бюджетных обязательствах (ф. 0503128);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отчет о финансовых результатах деятельности (ф. 0503121);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отчет о движении денежных средств (ф. 0503123);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пояснительная записка в составе: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2F26">
        <w:rPr>
          <w:rFonts w:ascii="Times New Roman" w:eastAsiaTheme="minorHAnsi" w:hAnsi="Times New Roman"/>
          <w:sz w:val="28"/>
          <w:szCs w:val="28"/>
        </w:rPr>
        <w:t>сведений об исполнении текстовых статей закона (решения) о бюджете (Таблица № 3);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задолженность).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Показатели бюджетной отчетности сформированы в соответствии с треб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ваниями Инструкций №№ 191н, 157н, 162н, положениями федеральных станда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тов №№ 256н, 257н, 274н, 275н, 278н, 184н и других действующих нормативно-правовых актов, регулирующих ведение бюджетного учета и составление отче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AC2F26" w:rsidRDefault="00AC2F26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2F26" w:rsidRDefault="00AC2F26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92C" w:rsidRPr="00AC2F26" w:rsidRDefault="0025292C" w:rsidP="00AC2F2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Расходы бюджета Суксунского городского округа по Думе Суксу</w:t>
      </w:r>
      <w:r w:rsidRPr="00AC2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AC2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городского округа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 xml:space="preserve">Дума Суксунского городского округа в 2023 году в соответствии с </w:t>
      </w:r>
      <w:r w:rsidR="00AC2F26">
        <w:rPr>
          <w:rFonts w:ascii="Times New Roman" w:hAnsi="Times New Roman"/>
          <w:sz w:val="28"/>
          <w:szCs w:val="28"/>
        </w:rPr>
        <w:t>р</w:t>
      </w:r>
      <w:r w:rsidRPr="00AC2F26">
        <w:rPr>
          <w:rFonts w:ascii="Times New Roman" w:hAnsi="Times New Roman"/>
          <w:sz w:val="28"/>
          <w:szCs w:val="28"/>
        </w:rPr>
        <w:t>ешен</w:t>
      </w:r>
      <w:r w:rsidRPr="00AC2F26">
        <w:rPr>
          <w:rFonts w:ascii="Times New Roman" w:hAnsi="Times New Roman"/>
          <w:sz w:val="28"/>
          <w:szCs w:val="28"/>
        </w:rPr>
        <w:t>и</w:t>
      </w:r>
      <w:r w:rsidRPr="00AC2F26">
        <w:rPr>
          <w:rFonts w:ascii="Times New Roman" w:hAnsi="Times New Roman"/>
          <w:sz w:val="28"/>
          <w:szCs w:val="28"/>
        </w:rPr>
        <w:t>ем о бюджете являлась главным распорядителем бюджетных средств по разделу классификации расходов бюджета 01.00 «Общегосударственные вопросы» в су</w:t>
      </w:r>
      <w:r w:rsidRPr="00AC2F26">
        <w:rPr>
          <w:rFonts w:ascii="Times New Roman" w:hAnsi="Times New Roman"/>
          <w:sz w:val="28"/>
          <w:szCs w:val="28"/>
        </w:rPr>
        <w:t>м</w:t>
      </w:r>
      <w:r w:rsidRPr="00AC2F26">
        <w:rPr>
          <w:rFonts w:ascii="Times New Roman" w:hAnsi="Times New Roman"/>
          <w:sz w:val="28"/>
          <w:szCs w:val="28"/>
        </w:rPr>
        <w:t>ме 1</w:t>
      </w:r>
      <w:r w:rsidR="00AC2F26">
        <w:rPr>
          <w:rFonts w:ascii="Times New Roman" w:hAnsi="Times New Roman"/>
          <w:sz w:val="28"/>
          <w:szCs w:val="28"/>
        </w:rPr>
        <w:t> </w:t>
      </w:r>
      <w:r w:rsidRPr="00AC2F26">
        <w:rPr>
          <w:rFonts w:ascii="Times New Roman" w:hAnsi="Times New Roman"/>
          <w:sz w:val="28"/>
          <w:szCs w:val="28"/>
        </w:rPr>
        <w:t>540</w:t>
      </w:r>
      <w:r w:rsidR="00AC2F26" w:rsidRPr="00AC2F26">
        <w:rPr>
          <w:rFonts w:ascii="Times New Roman" w:hAnsi="Times New Roman"/>
          <w:sz w:val="28"/>
          <w:szCs w:val="28"/>
        </w:rPr>
        <w:t> </w:t>
      </w:r>
      <w:r w:rsidRPr="00AC2F26">
        <w:rPr>
          <w:rFonts w:ascii="Times New Roman" w:hAnsi="Times New Roman"/>
          <w:sz w:val="28"/>
          <w:szCs w:val="28"/>
        </w:rPr>
        <w:t>200,00 руб.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F26">
        <w:rPr>
          <w:rFonts w:ascii="Times New Roman" w:hAnsi="Times New Roman"/>
          <w:sz w:val="28"/>
          <w:szCs w:val="28"/>
        </w:rPr>
        <w:t>Согласно приказу Финансового управления Администрации Суксунского городского округа от 21.12.2013 года № 84 «О внесении изменений в сводную бюджетную роспись бюджета Суксунского городского округа на 2023 год и пл</w:t>
      </w:r>
      <w:r w:rsidRPr="00AC2F26">
        <w:rPr>
          <w:rFonts w:ascii="Times New Roman" w:hAnsi="Times New Roman"/>
          <w:sz w:val="28"/>
          <w:szCs w:val="28"/>
        </w:rPr>
        <w:t>а</w:t>
      </w:r>
      <w:r w:rsidRPr="00AC2F26">
        <w:rPr>
          <w:rFonts w:ascii="Times New Roman" w:hAnsi="Times New Roman"/>
          <w:sz w:val="28"/>
          <w:szCs w:val="28"/>
        </w:rPr>
        <w:t>новый период 2024 и 2025 годов», были внесены изменения в сводную бюдже</w:t>
      </w:r>
      <w:r w:rsidRPr="00AC2F26">
        <w:rPr>
          <w:rFonts w:ascii="Times New Roman" w:hAnsi="Times New Roman"/>
          <w:sz w:val="28"/>
          <w:szCs w:val="28"/>
        </w:rPr>
        <w:t>т</w:t>
      </w:r>
      <w:r w:rsidRPr="00AC2F26">
        <w:rPr>
          <w:rFonts w:ascii="Times New Roman" w:hAnsi="Times New Roman"/>
          <w:sz w:val="28"/>
          <w:szCs w:val="28"/>
        </w:rPr>
        <w:t>ную роспись в части перераспределения средств между непрограммными мер</w:t>
      </w:r>
      <w:r w:rsidRPr="00AC2F26">
        <w:rPr>
          <w:rFonts w:ascii="Times New Roman" w:hAnsi="Times New Roman"/>
          <w:sz w:val="28"/>
          <w:szCs w:val="28"/>
        </w:rPr>
        <w:t>о</w:t>
      </w:r>
      <w:r w:rsidRPr="00AC2F26">
        <w:rPr>
          <w:rFonts w:ascii="Times New Roman" w:hAnsi="Times New Roman"/>
          <w:sz w:val="28"/>
          <w:szCs w:val="28"/>
        </w:rPr>
        <w:t>приятиями</w:t>
      </w: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2F26">
        <w:rPr>
          <w:rFonts w:ascii="Times New Roman" w:hAnsi="Times New Roman"/>
          <w:sz w:val="28"/>
          <w:szCs w:val="28"/>
        </w:rPr>
        <w:t>на возмещение выплат депутатам в целях недопущения кредиторской задолженности.</w:t>
      </w:r>
      <w:proofErr w:type="gramEnd"/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>Таким образом, на финансирование Думы Суксунского городского округа было утверждено бюджетных назначений в сумме 1 550 200,00 рублей.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>Согласно данным Отчета об исполнении бюджета (ф. 0503127) фактическое исполнение по расходам бюджета за 2023 год составило 1 547 555,14 руб.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26">
        <w:rPr>
          <w:rFonts w:ascii="Times New Roman" w:hAnsi="Times New Roman"/>
          <w:sz w:val="28"/>
          <w:szCs w:val="28"/>
        </w:rPr>
        <w:t>Анализ исполнения расходов бюджета представлен в таблице № 1.</w:t>
      </w:r>
    </w:p>
    <w:p w:rsidR="0025292C" w:rsidRPr="00AC2F26" w:rsidRDefault="0025292C" w:rsidP="00AC2F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5292C" w:rsidRPr="0025292C" w:rsidRDefault="0025292C" w:rsidP="0025292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25292C">
        <w:rPr>
          <w:rFonts w:ascii="Times New Roman" w:hAnsi="Times New Roman"/>
          <w:sz w:val="20"/>
          <w:szCs w:val="20"/>
        </w:rPr>
        <w:t>Таблица № 1</w:t>
      </w:r>
    </w:p>
    <w:tbl>
      <w:tblPr>
        <w:tblW w:w="100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1417"/>
        <w:gridCol w:w="1417"/>
        <w:gridCol w:w="1277"/>
        <w:gridCol w:w="1275"/>
      </w:tblGrid>
      <w:tr w:rsidR="0025292C" w:rsidRPr="0025292C" w:rsidTr="00AC2F26">
        <w:trPr>
          <w:trHeight w:val="248"/>
          <w:tblHeader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код расхода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Уточненные</w:t>
            </w:r>
          </w:p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плановые</w:t>
            </w:r>
          </w:p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назначения,</w:t>
            </w:r>
          </w:p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Исполнено, руб.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от уточне</w:t>
            </w: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</w:p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плановых</w:t>
            </w:r>
          </w:p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назначений,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</w:t>
            </w:r>
            <w:proofErr w:type="gramStart"/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уточненных</w:t>
            </w:r>
            <w:proofErr w:type="gramEnd"/>
            <w:r w:rsidRPr="0025292C">
              <w:rPr>
                <w:rFonts w:ascii="Times New Roman" w:hAnsi="Times New Roman"/>
                <w:b/>
                <w:sz w:val="20"/>
                <w:szCs w:val="20"/>
              </w:rPr>
              <w:t xml:space="preserve"> плановых</w:t>
            </w:r>
          </w:p>
          <w:p w:rsidR="0025292C" w:rsidRPr="0025292C" w:rsidRDefault="0025292C" w:rsidP="0025292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92C">
              <w:rPr>
                <w:rFonts w:ascii="Times New Roman" w:hAnsi="Times New Roman"/>
                <w:b/>
                <w:sz w:val="20"/>
                <w:szCs w:val="20"/>
              </w:rPr>
              <w:t>назначений, %</w:t>
            </w:r>
          </w:p>
        </w:tc>
      </w:tr>
      <w:tr w:rsidR="00AC2F26" w:rsidRPr="0025292C" w:rsidTr="00AC2F26">
        <w:trPr>
          <w:trHeight w:val="272"/>
          <w:tblHeader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C2F26" w:rsidRPr="0025292C" w:rsidRDefault="00AC2F26" w:rsidP="00AC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F26" w:rsidRPr="0025292C" w:rsidRDefault="00AC2F26" w:rsidP="00AC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26" w:rsidRPr="0025292C" w:rsidRDefault="00AC2F26" w:rsidP="00AC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26" w:rsidRPr="0025292C" w:rsidRDefault="00AC2F26" w:rsidP="00AC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26" w:rsidRPr="0025292C" w:rsidRDefault="00AC2F26" w:rsidP="00AC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F26" w:rsidRPr="0025292C" w:rsidRDefault="00AC2F26" w:rsidP="00AC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1 550 200,00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1 547 555,14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2 644,86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99,83</w:t>
            </w: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Иные выплаты государственных (муниципальных) органов пр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влекаемым лицам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00020 123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94 671,55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328,45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99,65</w:t>
            </w: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Фонд оплаты труда госуда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ственных (муниципальных) о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00030 121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810 704,35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810 655,70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48,65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92C">
              <w:rPr>
                <w:rFonts w:ascii="Times New Roman" w:hAnsi="Times New Roman"/>
                <w:sz w:val="24"/>
                <w:szCs w:val="24"/>
              </w:rPr>
              <w:t>Иные выплаты персоналу гос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дарственных (муниципальных органов, за исключением фонда оплаты труда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00030 122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Взносы по обязательному соц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альному страхованию на выпл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ты денежного содержания и иные выплаты работникам  го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5292C">
              <w:rPr>
                <w:rFonts w:ascii="Times New Roman" w:hAnsi="Times New Roman"/>
                <w:sz w:val="24"/>
                <w:szCs w:val="24"/>
              </w:rPr>
              <w:t>ударственных (муниципальных) органов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 xml:space="preserve">   00030 129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242 269,32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242 089,19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180,13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99,92</w:t>
            </w: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00030 242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63 660,47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61 846,74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1 813,73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97,15</w:t>
            </w: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</w:t>
            </w:r>
            <w:r w:rsidRPr="0025292C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lastRenderedPageBreak/>
              <w:t>00030 244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62 065,86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61 791,96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273,90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99,56</w:t>
            </w:r>
          </w:p>
        </w:tc>
      </w:tr>
      <w:tr w:rsidR="0025292C" w:rsidRPr="0025292C" w:rsidTr="00372363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292C" w:rsidRPr="0025292C" w:rsidRDefault="0025292C" w:rsidP="0025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2У010 244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275 000,00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275 000,00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92C" w:rsidRPr="0025292C" w:rsidRDefault="0025292C" w:rsidP="00252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9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C2F26" w:rsidRDefault="00AC2F26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>Расходная часть в 2023 году по статье расходов «Общегосударственные в</w:t>
      </w:r>
      <w:r w:rsidRPr="0025292C">
        <w:rPr>
          <w:rFonts w:ascii="Times New Roman" w:hAnsi="Times New Roman"/>
          <w:sz w:val="28"/>
          <w:szCs w:val="28"/>
        </w:rPr>
        <w:t>о</w:t>
      </w:r>
      <w:r w:rsidRPr="0025292C">
        <w:rPr>
          <w:rFonts w:ascii="Times New Roman" w:hAnsi="Times New Roman"/>
          <w:sz w:val="28"/>
          <w:szCs w:val="28"/>
        </w:rPr>
        <w:t>просы» не исполнена на сумму 2 644,86 руб., выполнение составило 99,83% уто</w:t>
      </w:r>
      <w:r w:rsidRPr="0025292C">
        <w:rPr>
          <w:rFonts w:ascii="Times New Roman" w:hAnsi="Times New Roman"/>
          <w:sz w:val="28"/>
          <w:szCs w:val="28"/>
        </w:rPr>
        <w:t>ч</w:t>
      </w:r>
      <w:r w:rsidRPr="0025292C">
        <w:rPr>
          <w:rFonts w:ascii="Times New Roman" w:hAnsi="Times New Roman"/>
          <w:sz w:val="28"/>
          <w:szCs w:val="28"/>
        </w:rPr>
        <w:t>ненных плановых назначений на 2023 год.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5292C" w:rsidRPr="0025292C" w:rsidRDefault="0025292C" w:rsidP="0025292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Анализ степени полноты бюджетной отчетности главного распоряд</w:t>
      </w:r>
      <w:r w:rsidRPr="00252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252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теля бюджетных средств, ее соответствие требованиям нормативных прав</w:t>
      </w:r>
      <w:r w:rsidRPr="00252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252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 актов по составу и содержанию. Проверка внутренней согласованности форм бюджетной отчетности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5292C">
        <w:rPr>
          <w:rFonts w:ascii="Times New Roman" w:eastAsiaTheme="minorHAnsi" w:hAnsi="Times New Roman"/>
          <w:sz w:val="28"/>
          <w:szCs w:val="28"/>
        </w:rPr>
        <w:t>Годовая бюджетная отчетность за 2023 год составлена в соответствии с тр</w:t>
      </w:r>
      <w:r w:rsidRPr="0025292C">
        <w:rPr>
          <w:rFonts w:ascii="Times New Roman" w:eastAsiaTheme="minorHAnsi" w:hAnsi="Times New Roman"/>
          <w:sz w:val="28"/>
          <w:szCs w:val="28"/>
        </w:rPr>
        <w:t>е</w:t>
      </w:r>
      <w:r w:rsidRPr="0025292C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06.12.2023 № 73 «Об установлении сроков  предоставления в Финансовое  упра</w:t>
      </w:r>
      <w:r w:rsidRPr="0025292C">
        <w:rPr>
          <w:rFonts w:ascii="Times New Roman" w:eastAsiaTheme="minorHAnsi" w:hAnsi="Times New Roman"/>
          <w:sz w:val="28"/>
          <w:szCs w:val="28"/>
        </w:rPr>
        <w:t>в</w:t>
      </w:r>
      <w:r w:rsidRPr="0025292C">
        <w:rPr>
          <w:rFonts w:ascii="Times New Roman" w:eastAsiaTheme="minorHAnsi" w:hAnsi="Times New Roman"/>
          <w:sz w:val="28"/>
          <w:szCs w:val="28"/>
        </w:rPr>
        <w:t>ление Администрации Суксунского городского округа Пермского края ГРБС г</w:t>
      </w:r>
      <w:r w:rsidRPr="0025292C">
        <w:rPr>
          <w:rFonts w:ascii="Times New Roman" w:eastAsiaTheme="minorHAnsi" w:hAnsi="Times New Roman"/>
          <w:sz w:val="28"/>
          <w:szCs w:val="28"/>
        </w:rPr>
        <w:t>о</w:t>
      </w:r>
      <w:r w:rsidRPr="0025292C">
        <w:rPr>
          <w:rFonts w:ascii="Times New Roman" w:eastAsiaTheme="minorHAnsi" w:hAnsi="Times New Roman"/>
          <w:sz w:val="28"/>
          <w:szCs w:val="28"/>
        </w:rPr>
        <w:t>довой бюджетной отчетности об исполнении бюджета Суксунского городского округа Пермского края и  бухгалтерской отчетности бюджетных и автономных учреждений</w:t>
      </w:r>
      <w:proofErr w:type="gramEnd"/>
      <w:r w:rsidRPr="0025292C">
        <w:rPr>
          <w:rFonts w:ascii="Times New Roman" w:eastAsiaTheme="minorHAnsi" w:hAnsi="Times New Roman"/>
          <w:sz w:val="28"/>
          <w:szCs w:val="28"/>
        </w:rPr>
        <w:t xml:space="preserve"> за 2023 год».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292C">
        <w:rPr>
          <w:rFonts w:ascii="Times New Roman" w:eastAsiaTheme="minorHAnsi" w:hAnsi="Times New Roman"/>
          <w:sz w:val="28"/>
          <w:szCs w:val="28"/>
        </w:rPr>
        <w:t>Думе Суксунского городского округа установлена дата представления и сдачи отчета – 10.01.2024.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292C">
        <w:rPr>
          <w:rFonts w:ascii="Times New Roman" w:eastAsiaTheme="minorHAnsi" w:hAnsi="Times New Roman"/>
          <w:sz w:val="28"/>
          <w:szCs w:val="28"/>
        </w:rPr>
        <w:t>Сроки представления отчетности соблюдены.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292C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25292C">
        <w:rPr>
          <w:rFonts w:ascii="Times New Roman" w:eastAsiaTheme="minorHAnsi" w:hAnsi="Times New Roman"/>
          <w:sz w:val="28"/>
          <w:szCs w:val="28"/>
        </w:rPr>
        <w:t>т</w:t>
      </w:r>
      <w:r w:rsidRPr="0025292C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редседателем Думы Суксунского городского округа </w:t>
      </w:r>
      <w:proofErr w:type="spellStart"/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Гомзяковым</w:t>
      </w:r>
      <w:proofErr w:type="spellEnd"/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миром Александровичем;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ведущим бухгалтером МКУ «ЦБ Суксунского городского округа» Поном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ревой Тамарой Ивановной, на которую возложены обязанности главного бухга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тера по ведению бюджетного учета Думы Суксунского городского округа.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25292C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Думы Суксунского городского округа п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казала, что данные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нансирования дефицита бюджета, главного администратора, администратора д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ходов бюджета (ф. 0503130) (далее – Баланс (ф. 0503130)) на начало и конец о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о стоимости активов и обязательств, финансовом результате полностью соответствуют счетам учета Главной книги.</w:t>
      </w:r>
      <w:proofErr w:type="gramEnd"/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Раздел 1 «Нефинансовые активы» Баланса (ф. 0503130) подтверждаются да</w:t>
      </w: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ными, отраженными в Сведениях о движении нефинансовых активов (ф. 0503168).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Баланса (ф. 0503130) подтверждаются да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Баланса (ф. 0503130) подтверждаются данными, отраженными в Сведениях о дебиторской и кредиторской задолженности (вид з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долженности – кредиторская задолженность) (ф. 0503169).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Баланса (ф. 0503130) подтверждается данными Справки по заключению счетов бюджетного учета отчетного финанс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вого года (ф. 0503110).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2023 года подтверждаются данными Справки по закл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финансовых результатах деятельности (ф. 0503121) по состоянию на 01.01.2024 составлен в разрезе кодов КОСГУ и содержит данные о финансовых результатах деятельности Думы. Проверкой контрольных соотношений отчетн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сти расхождений не установлено.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5292C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2023 год.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>Утвержденные бюджетные назначения по расходам на 2023 год отражены в сумме 1 550 200,00 руб. Исполнение расходов бюджета Думы в проверяемом п</w:t>
      </w:r>
      <w:r w:rsidRPr="0025292C">
        <w:rPr>
          <w:rFonts w:ascii="Times New Roman" w:hAnsi="Times New Roman"/>
          <w:sz w:val="28"/>
          <w:szCs w:val="28"/>
        </w:rPr>
        <w:t>е</w:t>
      </w:r>
      <w:r w:rsidRPr="0025292C">
        <w:rPr>
          <w:rFonts w:ascii="Times New Roman" w:hAnsi="Times New Roman"/>
          <w:sz w:val="28"/>
          <w:szCs w:val="28"/>
        </w:rPr>
        <w:t>риоде составило 1 547 555,14  руб., или 99,83% утвержденных бюджетных назн</w:t>
      </w:r>
      <w:r w:rsidRPr="0025292C">
        <w:rPr>
          <w:rFonts w:ascii="Times New Roman" w:hAnsi="Times New Roman"/>
          <w:sz w:val="28"/>
          <w:szCs w:val="28"/>
        </w:rPr>
        <w:t>а</w:t>
      </w:r>
      <w:r w:rsidRPr="0025292C">
        <w:rPr>
          <w:rFonts w:ascii="Times New Roman" w:hAnsi="Times New Roman"/>
          <w:sz w:val="28"/>
          <w:szCs w:val="28"/>
        </w:rPr>
        <w:t>чений.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>Общее неисполнение бюджетных назначений по расходам за 2023 год с</w:t>
      </w:r>
      <w:r w:rsidRPr="0025292C">
        <w:rPr>
          <w:rFonts w:ascii="Times New Roman" w:hAnsi="Times New Roman"/>
          <w:sz w:val="28"/>
          <w:szCs w:val="28"/>
        </w:rPr>
        <w:t>о</w:t>
      </w:r>
      <w:r w:rsidRPr="0025292C">
        <w:rPr>
          <w:rFonts w:ascii="Times New Roman" w:hAnsi="Times New Roman"/>
          <w:sz w:val="28"/>
          <w:szCs w:val="28"/>
        </w:rPr>
        <w:t xml:space="preserve">ставило 2 644,86 руб. Неисполнение  назначения возникло в связи с экономией расходов по услугам  связи. 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25292C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01.01.2023 нарушений не выявила.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25292C">
        <w:rPr>
          <w:rFonts w:ascii="Times New Roman" w:hAnsi="Times New Roman"/>
          <w:sz w:val="28"/>
          <w:szCs w:val="28"/>
        </w:rPr>
        <w:t>(ф. 0503127)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25292C">
        <w:rPr>
          <w:rFonts w:ascii="Times New Roman" w:hAnsi="Times New Roman"/>
          <w:sz w:val="28"/>
          <w:szCs w:val="28"/>
        </w:rPr>
        <w:t>а</w:t>
      </w:r>
      <w:r w:rsidRPr="0025292C">
        <w:rPr>
          <w:rFonts w:ascii="Times New Roman" w:hAnsi="Times New Roman"/>
          <w:sz w:val="28"/>
          <w:szCs w:val="28"/>
        </w:rPr>
        <w:t>тельствах, не исполненных принятых бюджетных и денежных обязательств.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5292C">
        <w:rPr>
          <w:rFonts w:ascii="Times New Roman" w:hAnsi="Times New Roman"/>
          <w:spacing w:val="-4"/>
          <w:sz w:val="28"/>
          <w:szCs w:val="28"/>
        </w:rPr>
        <w:t xml:space="preserve">Данные показателей формы Отчета о бюджетных обязательствах (ф. 0503128) </w:t>
      </w:r>
      <w:r w:rsidRPr="0025292C">
        <w:rPr>
          <w:rFonts w:ascii="Times New Roman" w:hAnsi="Times New Roman"/>
          <w:spacing w:val="-4"/>
          <w:sz w:val="28"/>
          <w:szCs w:val="28"/>
        </w:rPr>
        <w:lastRenderedPageBreak/>
        <w:t>соответствуют данным формы Отчета об исполнении бюджета (ф. 0503127).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eastAsiaTheme="minorEastAsia" w:hAnsi="Times New Roman"/>
          <w:sz w:val="28"/>
          <w:szCs w:val="28"/>
          <w:lang w:eastAsia="ru-RU"/>
        </w:rPr>
        <w:t>Данные по отложенным обязательствам, отраженные в разделе 3 «Обяз</w:t>
      </w:r>
      <w:r w:rsidRPr="0025292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25292C">
        <w:rPr>
          <w:rFonts w:ascii="Times New Roman" w:eastAsiaTheme="minorEastAsia" w:hAnsi="Times New Roman"/>
          <w:sz w:val="28"/>
          <w:szCs w:val="28"/>
          <w:lang w:eastAsia="ru-RU"/>
        </w:rPr>
        <w:t>тельства финансовых годов, следующих за текущим (отчетным) финансовым г</w:t>
      </w:r>
      <w:r w:rsidRPr="0025292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5292C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дом» </w:t>
      </w:r>
      <w:r w:rsidRPr="0025292C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«Обязательства» Баланса (ф. 0503130) в части резервов предстоящих расходов.</w:t>
      </w:r>
    </w:p>
    <w:p w:rsidR="0025292C" w:rsidRPr="0025292C" w:rsidRDefault="0025292C" w:rsidP="0025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25292C" w:rsidRPr="0025292C" w:rsidRDefault="0025292C" w:rsidP="0025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вов (ф. 0503168) по состоянию на 01.01.2024, расхождений не установлено. </w:t>
      </w:r>
      <w:proofErr w:type="gramStart"/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лансовая стоимость основных средств по состоянию на 01.01.2023 составляла 127 540,00 руб., по состоянию на 01.01.2024 балансовая стоимость основных средств не увеличилась и осталась прежней</w:t>
      </w:r>
      <w:r w:rsid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127 540,00 руб. При этом, в течение 2023 года было отражено поступление основных средств на сумму 1 250,00 руб. Их стоимость списана в расходы при передаче в эксплуатацию.</w:t>
      </w:r>
      <w:proofErr w:type="gramEnd"/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Амортизация основных средств по бюджетной деятельности на 01.01.2024 по данным Баланса (ф. 0503130) составила 127 540,00 руб., то есть 100%, что также соответствует данным, отраженным в Сведениях о движении нефинансовых акт</w:t>
      </w: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вов (ф. 0503168).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средства на </w:t>
      </w:r>
      <w:proofErr w:type="spellStart"/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21 «Основные средства в экспл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атации» по состоянию на 01.01.2024 числятся в количестве 29 штук на сумму 109 633,83 рубля.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Стоимость материальных запасов по состоянию на 01.01.2023 составляла 32 382,76 руб., по состоянию на 01.01.2024 стоимость материальных запасов уменьшилась на 10 938,00 руб. и составляет 21 444,76 руб., что соответствует да</w:t>
      </w: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ным об остатках материальных запасов, отраженных в Балансе (ф. 0503130) и Св</w:t>
      </w: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2529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дениях о движении нефинансовых активов (ф. 0503168).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>Дебиторская задолженность по бюджетной деятельности согласно Сведен</w:t>
      </w:r>
      <w:r w:rsidRPr="0025292C">
        <w:rPr>
          <w:rFonts w:ascii="Times New Roman" w:hAnsi="Times New Roman"/>
          <w:sz w:val="28"/>
          <w:szCs w:val="28"/>
        </w:rPr>
        <w:t>и</w:t>
      </w:r>
      <w:r w:rsidRPr="0025292C">
        <w:rPr>
          <w:rFonts w:ascii="Times New Roman" w:hAnsi="Times New Roman"/>
          <w:sz w:val="28"/>
          <w:szCs w:val="28"/>
        </w:rPr>
        <w:t>ям о дебиторской и кредиторской задолженности (вид задолженности – дебито</w:t>
      </w:r>
      <w:r w:rsidRPr="0025292C">
        <w:rPr>
          <w:rFonts w:ascii="Times New Roman" w:hAnsi="Times New Roman"/>
          <w:sz w:val="28"/>
          <w:szCs w:val="28"/>
        </w:rPr>
        <w:t>р</w:t>
      </w:r>
      <w:r w:rsidRPr="0025292C">
        <w:rPr>
          <w:rFonts w:ascii="Times New Roman" w:hAnsi="Times New Roman"/>
          <w:sz w:val="28"/>
          <w:szCs w:val="28"/>
        </w:rPr>
        <w:t>ская задолженность) (ф. 0503169) на 01.01.2023 отсутствовала, то есть, составляла 0,00 руб. П</w:t>
      </w:r>
      <w:r w:rsidR="00AC2F26">
        <w:rPr>
          <w:rFonts w:ascii="Times New Roman" w:hAnsi="Times New Roman"/>
          <w:sz w:val="28"/>
          <w:szCs w:val="28"/>
        </w:rPr>
        <w:t>о</w:t>
      </w:r>
      <w:r w:rsidRPr="0025292C">
        <w:rPr>
          <w:rFonts w:ascii="Times New Roman" w:hAnsi="Times New Roman"/>
          <w:sz w:val="28"/>
          <w:szCs w:val="28"/>
        </w:rPr>
        <w:t xml:space="preserve"> состоянию на 01.01.2024 сумма дебиторской задолженности – 1,59 руб. Задолженность образовалась по единому налоговому платежу.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5292C">
        <w:rPr>
          <w:rFonts w:ascii="Times New Roman" w:hAnsi="Times New Roman"/>
          <w:spacing w:val="-2"/>
          <w:sz w:val="28"/>
          <w:szCs w:val="28"/>
        </w:rPr>
        <w:t>Кредиторская задолженность по бюджетной деятельности согласно Сведен</w:t>
      </w:r>
      <w:r w:rsidRPr="0025292C">
        <w:rPr>
          <w:rFonts w:ascii="Times New Roman" w:hAnsi="Times New Roman"/>
          <w:spacing w:val="-2"/>
          <w:sz w:val="28"/>
          <w:szCs w:val="28"/>
        </w:rPr>
        <w:t>и</w:t>
      </w:r>
      <w:r w:rsidRPr="0025292C">
        <w:rPr>
          <w:rFonts w:ascii="Times New Roman" w:hAnsi="Times New Roman"/>
          <w:spacing w:val="-2"/>
          <w:sz w:val="28"/>
          <w:szCs w:val="28"/>
        </w:rPr>
        <w:t>ям о дебиторской и кредиторской задолженности (вид задолженности – кредито</w:t>
      </w:r>
      <w:r w:rsidRPr="0025292C">
        <w:rPr>
          <w:rFonts w:ascii="Times New Roman" w:hAnsi="Times New Roman"/>
          <w:spacing w:val="-2"/>
          <w:sz w:val="28"/>
          <w:szCs w:val="28"/>
        </w:rPr>
        <w:t>р</w:t>
      </w:r>
      <w:r w:rsidRPr="0025292C">
        <w:rPr>
          <w:rFonts w:ascii="Times New Roman" w:hAnsi="Times New Roman"/>
          <w:spacing w:val="-2"/>
          <w:sz w:val="28"/>
          <w:szCs w:val="28"/>
        </w:rPr>
        <w:t>ская задолженность) (ф. 0503169) на 01.01.2023 составляла 2 661,24 руб. Сумма з</w:t>
      </w:r>
      <w:r w:rsidRPr="0025292C">
        <w:rPr>
          <w:rFonts w:ascii="Times New Roman" w:hAnsi="Times New Roman"/>
          <w:spacing w:val="-2"/>
          <w:sz w:val="28"/>
          <w:szCs w:val="28"/>
        </w:rPr>
        <w:t>а</w:t>
      </w:r>
      <w:r w:rsidRPr="0025292C">
        <w:rPr>
          <w:rFonts w:ascii="Times New Roman" w:hAnsi="Times New Roman"/>
          <w:spacing w:val="-2"/>
          <w:sz w:val="28"/>
          <w:szCs w:val="28"/>
        </w:rPr>
        <w:t xml:space="preserve">долженности образовалась по услугам связи. По состоянию на 01.01.2024 сумма задолженности уменьшилась на 2 544,83 руб. или на 95,6% и составила 116,41 руб. </w:t>
      </w:r>
      <w:r w:rsidRPr="0025292C">
        <w:rPr>
          <w:rFonts w:ascii="Times New Roman" w:hAnsi="Times New Roman"/>
          <w:spacing w:val="-2"/>
          <w:sz w:val="28"/>
          <w:szCs w:val="28"/>
        </w:rPr>
        <w:lastRenderedPageBreak/>
        <w:t>Задолженность по услугам связи за декабрь 2023 года перед ПАО «Ростелеком».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25292C">
        <w:rPr>
          <w:rFonts w:ascii="Times New Roman" w:hAnsi="Times New Roman"/>
          <w:sz w:val="28"/>
          <w:szCs w:val="28"/>
        </w:rPr>
        <w:t>е</w:t>
      </w:r>
      <w:r w:rsidRPr="0025292C">
        <w:rPr>
          <w:rFonts w:ascii="Times New Roman" w:hAnsi="Times New Roman"/>
          <w:sz w:val="28"/>
          <w:szCs w:val="28"/>
        </w:rPr>
        <w:t>ниях о дебиторской и кредиторской задолженности (ф. 0503169), соответствуют показателям, указанным в Балансе (ф. 0503130). Просроченная задолженность о</w:t>
      </w:r>
      <w:r w:rsidRPr="0025292C">
        <w:rPr>
          <w:rFonts w:ascii="Times New Roman" w:hAnsi="Times New Roman"/>
          <w:sz w:val="28"/>
          <w:szCs w:val="28"/>
        </w:rPr>
        <w:t>т</w:t>
      </w:r>
      <w:r w:rsidRPr="0025292C">
        <w:rPr>
          <w:rFonts w:ascii="Times New Roman" w:hAnsi="Times New Roman"/>
          <w:sz w:val="28"/>
          <w:szCs w:val="28"/>
        </w:rPr>
        <w:t>сутствует.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справка по консолидируемым расчетам (ф. 0503125);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0503160):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сведения о проведении инвентаризаций (таблица № 6);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анализ отчета об исполнении бюджета субъектом бюджетной отчетности (таблица 13);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отчетности субъекта бюджетной отчетности (таблица № 14);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причины увеличения просроченной задолженности (таблица № 15);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сведения об исполнении мероприятий в рамках целевых программ (ф. 0503166);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сведения о целевых иностранных кредитах (ф. 0503167);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сведения о финансовых вложениях получателя бюджетных средств, адм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9" w:history="1">
        <w:r w:rsidRPr="0025292C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изменении остатков валюты баланса </w:t>
      </w:r>
      <w:hyperlink r:id="rId10" w:history="1">
        <w:r w:rsidRPr="0025292C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1" w:history="1">
        <w:r w:rsidRPr="0025292C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292C">
        <w:rPr>
          <w:rFonts w:ascii="Times New Roman" w:eastAsiaTheme="minorHAnsi" w:hAnsi="Times New Roman"/>
          <w:sz w:val="28"/>
          <w:szCs w:val="28"/>
        </w:rPr>
        <w:t>сведения о принятых и неисполненных обязательствах получателя бюдже</w:t>
      </w:r>
      <w:r w:rsidRPr="0025292C">
        <w:rPr>
          <w:rFonts w:ascii="Times New Roman" w:eastAsiaTheme="minorHAnsi" w:hAnsi="Times New Roman"/>
          <w:sz w:val="28"/>
          <w:szCs w:val="28"/>
        </w:rPr>
        <w:t>т</w:t>
      </w:r>
      <w:r w:rsidRPr="0025292C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12" w:history="1">
        <w:r w:rsidRPr="0025292C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25292C">
        <w:rPr>
          <w:rFonts w:ascii="Times New Roman" w:eastAsiaTheme="minorHAnsi" w:hAnsi="Times New Roman"/>
          <w:sz w:val="28"/>
          <w:szCs w:val="28"/>
        </w:rPr>
        <w:t>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остатках денежных средств на счетах получателя бюджетных средств </w:t>
      </w:r>
      <w:hyperlink r:id="rId13" w:history="1">
        <w:r w:rsidRPr="0025292C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сведения о вложениях в объекты недвижимого имущества, объектах нез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4" w:anchor="l6943" w:history="1">
        <w:r w:rsidRPr="0025292C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5292C" w:rsidRPr="0025292C" w:rsidRDefault="0025292C" w:rsidP="0025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15" w:history="1">
        <w:r w:rsidRPr="0025292C">
          <w:rPr>
            <w:rFonts w:ascii="Times New Roman" w:hAnsi="Times New Roman"/>
            <w:sz w:val="28"/>
            <w:szCs w:val="28"/>
          </w:rPr>
          <w:t>(ф. 0503296)</w:t>
        </w:r>
      </w:hyperlink>
      <w:r w:rsidRPr="0025292C">
        <w:rPr>
          <w:rFonts w:ascii="Times New Roman" w:hAnsi="Times New Roman"/>
          <w:sz w:val="28"/>
          <w:szCs w:val="28"/>
        </w:rPr>
        <w:t>;</w:t>
      </w:r>
    </w:p>
    <w:p w:rsidR="0025292C" w:rsidRPr="0025292C" w:rsidRDefault="0025292C" w:rsidP="0025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>справка о суммах консолидируемых поступлений, подлежащих зачислению на счет бюджета (ф. 0503184);</w:t>
      </w:r>
    </w:p>
    <w:p w:rsidR="0025292C" w:rsidRPr="0025292C" w:rsidRDefault="0025292C" w:rsidP="0025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sz w:val="28"/>
          <w:szCs w:val="28"/>
        </w:rPr>
        <w:t xml:space="preserve">сведения по безвозмездной передаче (получению) нефинансовых активов, финансовых активов (за исключением денежных средств) (форма </w:t>
      </w:r>
      <w:r w:rsidRPr="0025292C">
        <w:rPr>
          <w:rFonts w:ascii="Times New Roman" w:hAnsi="Times New Roman"/>
          <w:sz w:val="28"/>
          <w:szCs w:val="28"/>
          <w:lang w:val="en-US"/>
        </w:rPr>
        <w:t>x</w:t>
      </w:r>
      <w:r w:rsidRPr="0025292C">
        <w:rPr>
          <w:rFonts w:ascii="Times New Roman" w:hAnsi="Times New Roman"/>
          <w:sz w:val="28"/>
          <w:szCs w:val="28"/>
        </w:rPr>
        <w:t>25КУ).</w:t>
      </w:r>
    </w:p>
    <w:p w:rsidR="00D257C2" w:rsidRDefault="00D257C2" w:rsidP="00D257C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57C2" w:rsidRDefault="00D257C2" w:rsidP="00D257C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57C2" w:rsidRDefault="00D257C2" w:rsidP="00D257C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57C2" w:rsidRDefault="00D257C2" w:rsidP="00D257C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57C2" w:rsidRDefault="00D257C2" w:rsidP="00D257C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lastRenderedPageBreak/>
        <w:t>Возражения или замечания руководител</w:t>
      </w:r>
      <w:r>
        <w:rPr>
          <w:rFonts w:ascii="Times New Roman" w:hAnsi="Times New Roman"/>
          <w:b/>
          <w:i/>
          <w:sz w:val="28"/>
          <w:szCs w:val="28"/>
        </w:rPr>
        <w:t>я о</w:t>
      </w:r>
      <w:r w:rsidRPr="00677FC4">
        <w:rPr>
          <w:rFonts w:ascii="Times New Roman" w:hAnsi="Times New Roman"/>
          <w:b/>
          <w:i/>
          <w:sz w:val="28"/>
          <w:szCs w:val="28"/>
        </w:rPr>
        <w:t>бъект</w:t>
      </w:r>
      <w:r>
        <w:rPr>
          <w:rFonts w:ascii="Times New Roman" w:hAnsi="Times New Roman"/>
          <w:b/>
          <w:i/>
          <w:sz w:val="28"/>
          <w:szCs w:val="28"/>
        </w:rPr>
        <w:t>а</w:t>
      </w:r>
    </w:p>
    <w:p w:rsidR="00D257C2" w:rsidRDefault="00D257C2" w:rsidP="00D257C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677FC4">
        <w:rPr>
          <w:rFonts w:ascii="Times New Roman" w:hAnsi="Times New Roman"/>
          <w:b/>
          <w:i/>
          <w:sz w:val="28"/>
          <w:szCs w:val="28"/>
        </w:rPr>
        <w:t>онтрольного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7FC4">
        <w:rPr>
          <w:rFonts w:ascii="Times New Roman" w:hAnsi="Times New Roman"/>
          <w:b/>
          <w:i/>
          <w:sz w:val="28"/>
          <w:szCs w:val="28"/>
        </w:rPr>
        <w:t>мероприятия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7FC4">
        <w:rPr>
          <w:rFonts w:ascii="Times New Roman" w:hAnsi="Times New Roman"/>
          <w:b/>
          <w:i/>
          <w:sz w:val="28"/>
          <w:szCs w:val="28"/>
        </w:rPr>
        <w:t>на результаты</w:t>
      </w:r>
    </w:p>
    <w:p w:rsidR="00D257C2" w:rsidRPr="00677FC4" w:rsidRDefault="00D257C2" w:rsidP="00D257C2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D257C2" w:rsidRPr="002C7834" w:rsidRDefault="00D257C2" w:rsidP="00D257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D257C2" w:rsidRPr="00677FC4" w:rsidRDefault="00D257C2" w:rsidP="00D257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Дум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</w:t>
      </w:r>
      <w:r w:rsidRPr="005779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возражения на резул</w:t>
      </w:r>
      <w:r w:rsidRPr="0057796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77960">
        <w:rPr>
          <w:rFonts w:ascii="Times New Roman" w:eastAsia="Times New Roman" w:hAnsi="Times New Roman"/>
          <w:sz w:val="28"/>
          <w:szCs w:val="28"/>
          <w:lang w:eastAsia="ru-RU"/>
        </w:rPr>
        <w:t>таты контрольного мероприятия в Контрольно-счетную палату Суксунского г</w:t>
      </w:r>
      <w:r w:rsidRPr="005779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796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не представлены.</w:t>
      </w:r>
    </w:p>
    <w:p w:rsidR="00AC2F26" w:rsidRPr="0025292C" w:rsidRDefault="00AC2F26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5292C" w:rsidRPr="0010192E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0192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Выводы</w:t>
      </w:r>
    </w:p>
    <w:p w:rsidR="00AC2F26" w:rsidRDefault="00AC2F26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F27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у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твержденные бюджетные назн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Думы </w:t>
      </w:r>
      <w:r w:rsidR="00AC2F26"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городского округа 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на 2023 год составили 1 550 200,00 руб. Фактическое исполнение по расходам </w:t>
      </w:r>
      <w:r w:rsidR="00413C4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 составило 1 547 555,14</w:t>
      </w:r>
      <w:r w:rsidR="00AC2F2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99,83%</w:t>
      </w:r>
      <w:r w:rsidR="00EB5D6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EB5D64" w:rsidRPr="0025292C">
        <w:rPr>
          <w:rFonts w:ascii="Times New Roman" w:eastAsia="Times New Roman" w:hAnsi="Times New Roman"/>
          <w:sz w:val="28"/>
          <w:szCs w:val="28"/>
          <w:lang w:eastAsia="ru-RU"/>
        </w:rPr>
        <w:t>твержденны</w:t>
      </w:r>
      <w:r w:rsidR="00EB5D6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B5D64"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EB5D6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B5D64"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</w:t>
      </w:r>
      <w:r w:rsidR="00EB5D6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92C" w:rsidRP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 форм бюджетной отчетности Думы </w:t>
      </w:r>
      <w:r w:rsidR="00AC2F26" w:rsidRPr="0025292C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</w:t>
      </w:r>
      <w:r w:rsidR="00AC2F26" w:rsidRPr="0025292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F26"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га </w:t>
      </w: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требованиям </w:t>
      </w:r>
      <w:r w:rsidRPr="0025292C">
        <w:rPr>
          <w:rFonts w:ascii="Times New Roman" w:hAnsi="Times New Roman"/>
          <w:sz w:val="28"/>
          <w:szCs w:val="28"/>
        </w:rPr>
        <w:t>Инструкции № 191н. Фактов неполноты бюдже</w:t>
      </w:r>
      <w:r w:rsidRPr="0025292C">
        <w:rPr>
          <w:rFonts w:ascii="Times New Roman" w:hAnsi="Times New Roman"/>
          <w:sz w:val="28"/>
          <w:szCs w:val="28"/>
        </w:rPr>
        <w:t>т</w:t>
      </w:r>
      <w:r w:rsidRPr="0025292C">
        <w:rPr>
          <w:rFonts w:ascii="Times New Roman" w:hAnsi="Times New Roman"/>
          <w:sz w:val="28"/>
          <w:szCs w:val="28"/>
        </w:rPr>
        <w:t>ной отчетности не установлено.</w:t>
      </w:r>
    </w:p>
    <w:p w:rsid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7A2D8F" w:rsidRPr="002D4C88" w:rsidRDefault="007A2D8F" w:rsidP="007A2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4. В ходе проверки не выявлено нарушений, оказавших влияни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дост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верность бюджетной отчетности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Суксунского городского округа </w:t>
      </w:r>
      <w:bookmarkStart w:id="0" w:name="_GoBack"/>
      <w:bookmarkEnd w:id="0"/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за 2023 год.</w:t>
      </w:r>
    </w:p>
    <w:p w:rsidR="00AC2F26" w:rsidRDefault="00AC2F26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92C" w:rsidRDefault="0025292C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92C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2023 год главного администратора бюджетных средств Думы Суксунского городского округа дает основание полагать, что отчетность является достоверной.</w:t>
      </w:r>
    </w:p>
    <w:p w:rsidR="00D257C2" w:rsidRDefault="00D257C2" w:rsidP="0010192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0192E" w:rsidRDefault="0010192E" w:rsidP="0010192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</w:t>
      </w:r>
    </w:p>
    <w:p w:rsidR="0010192E" w:rsidRPr="0025292C" w:rsidRDefault="0010192E" w:rsidP="00252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F2D" w:rsidRPr="003E0424" w:rsidRDefault="004D3439" w:rsidP="004D343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F2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23FB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542" w:rsidRDefault="00D43542" w:rsidP="004F76E4">
      <w:pPr>
        <w:pStyle w:val="21"/>
        <w:spacing w:line="240" w:lineRule="exact"/>
      </w:pPr>
    </w:p>
    <w:p w:rsidR="00D43542" w:rsidRPr="006D2F8D" w:rsidRDefault="00D43542" w:rsidP="004F76E4">
      <w:pPr>
        <w:pStyle w:val="21"/>
        <w:spacing w:line="240" w:lineRule="exact"/>
      </w:pPr>
    </w:p>
    <w:p w:rsidR="0010192E" w:rsidRDefault="0010192E" w:rsidP="0010192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10192E" w:rsidRDefault="0010192E" w:rsidP="0010192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E52CB" w:rsidRDefault="0010192E" w:rsidP="0010192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9E52CB" w:rsidSect="00BC1BA7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1F" w:rsidRDefault="00DE311F" w:rsidP="004F76E4">
      <w:pPr>
        <w:spacing w:after="0" w:line="240" w:lineRule="auto"/>
      </w:pPr>
      <w:r>
        <w:separator/>
      </w:r>
    </w:p>
  </w:endnote>
  <w:endnote w:type="continuationSeparator" w:id="0">
    <w:p w:rsidR="00DE311F" w:rsidRDefault="00DE311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1F" w:rsidRDefault="00DE311F" w:rsidP="004F76E4">
      <w:pPr>
        <w:spacing w:after="0" w:line="240" w:lineRule="auto"/>
      </w:pPr>
      <w:r>
        <w:separator/>
      </w:r>
    </w:p>
  </w:footnote>
  <w:footnote w:type="continuationSeparator" w:id="0">
    <w:p w:rsidR="00DE311F" w:rsidRDefault="00DE311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4A0" w:rsidRPr="00255904" w:rsidRDefault="002E04A0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7A2D8F">
          <w:rPr>
            <w:rFonts w:ascii="Times New Roman" w:hAnsi="Times New Roman"/>
            <w:noProof/>
            <w:sz w:val="28"/>
            <w:szCs w:val="28"/>
          </w:rPr>
          <w:t>9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4A0" w:rsidRDefault="002E04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0" w:rsidRDefault="002E04A0">
    <w:pPr>
      <w:pStyle w:val="ab"/>
      <w:jc w:val="center"/>
    </w:pPr>
  </w:p>
  <w:p w:rsidR="002E04A0" w:rsidRDefault="002E04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32C5E"/>
    <w:multiLevelType w:val="hybridMultilevel"/>
    <w:tmpl w:val="61B83B38"/>
    <w:lvl w:ilvl="0" w:tplc="6074DF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8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0"/>
  </w:num>
  <w:num w:numId="12">
    <w:abstractNumId w:val="24"/>
  </w:num>
  <w:num w:numId="13">
    <w:abstractNumId w:val="14"/>
  </w:num>
  <w:num w:numId="14">
    <w:abstractNumId w:val="9"/>
  </w:num>
  <w:num w:numId="15">
    <w:abstractNumId w:val="15"/>
  </w:num>
  <w:num w:numId="16">
    <w:abstractNumId w:val="20"/>
  </w:num>
  <w:num w:numId="17">
    <w:abstractNumId w:val="0"/>
  </w:num>
  <w:num w:numId="18">
    <w:abstractNumId w:val="12"/>
  </w:num>
  <w:num w:numId="19">
    <w:abstractNumId w:val="6"/>
  </w:num>
  <w:num w:numId="20">
    <w:abstractNumId w:val="19"/>
  </w:num>
  <w:num w:numId="21">
    <w:abstractNumId w:val="2"/>
  </w:num>
  <w:num w:numId="22">
    <w:abstractNumId w:val="11"/>
  </w:num>
  <w:num w:numId="23">
    <w:abstractNumId w:val="8"/>
  </w:num>
  <w:num w:numId="24">
    <w:abstractNumId w:val="7"/>
  </w:num>
  <w:num w:numId="25">
    <w:abstractNumId w:val="3"/>
  </w:num>
  <w:num w:numId="26">
    <w:abstractNumId w:val="23"/>
  </w:num>
  <w:num w:numId="27">
    <w:abstractNumId w:val="26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24CB"/>
    <w:rsid w:val="0006361C"/>
    <w:rsid w:val="00066E91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5977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C7078"/>
    <w:rsid w:val="000D1380"/>
    <w:rsid w:val="000D4C8F"/>
    <w:rsid w:val="000D5502"/>
    <w:rsid w:val="000D71E0"/>
    <w:rsid w:val="000D745C"/>
    <w:rsid w:val="000E1964"/>
    <w:rsid w:val="000E5534"/>
    <w:rsid w:val="000F0071"/>
    <w:rsid w:val="000F2790"/>
    <w:rsid w:val="000F2F77"/>
    <w:rsid w:val="000F73F6"/>
    <w:rsid w:val="000F7C27"/>
    <w:rsid w:val="0010192E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69F8"/>
    <w:rsid w:val="00173A3B"/>
    <w:rsid w:val="0017411B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5C95"/>
    <w:rsid w:val="001D6280"/>
    <w:rsid w:val="001D7225"/>
    <w:rsid w:val="001E05D0"/>
    <w:rsid w:val="001E2E57"/>
    <w:rsid w:val="001E6904"/>
    <w:rsid w:val="001F328E"/>
    <w:rsid w:val="001F34A6"/>
    <w:rsid w:val="001F384D"/>
    <w:rsid w:val="001F6662"/>
    <w:rsid w:val="0020408F"/>
    <w:rsid w:val="00205D34"/>
    <w:rsid w:val="0020661C"/>
    <w:rsid w:val="002072A9"/>
    <w:rsid w:val="0021059C"/>
    <w:rsid w:val="00211A25"/>
    <w:rsid w:val="0021258F"/>
    <w:rsid w:val="00221C92"/>
    <w:rsid w:val="00225A2C"/>
    <w:rsid w:val="0023165D"/>
    <w:rsid w:val="00233452"/>
    <w:rsid w:val="00236C69"/>
    <w:rsid w:val="00240B4C"/>
    <w:rsid w:val="002467CF"/>
    <w:rsid w:val="00247574"/>
    <w:rsid w:val="0025292C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637C"/>
    <w:rsid w:val="002C006C"/>
    <w:rsid w:val="002C07E3"/>
    <w:rsid w:val="002C0A2F"/>
    <w:rsid w:val="002C2CDA"/>
    <w:rsid w:val="002C3015"/>
    <w:rsid w:val="002C3F2E"/>
    <w:rsid w:val="002C4D52"/>
    <w:rsid w:val="002C58E2"/>
    <w:rsid w:val="002D0A4D"/>
    <w:rsid w:val="002E04A0"/>
    <w:rsid w:val="002E1B13"/>
    <w:rsid w:val="002E2216"/>
    <w:rsid w:val="002E2FDC"/>
    <w:rsid w:val="002E3644"/>
    <w:rsid w:val="002F0E9A"/>
    <w:rsid w:val="002F223D"/>
    <w:rsid w:val="002F76AE"/>
    <w:rsid w:val="00301493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291A"/>
    <w:rsid w:val="003B3AB9"/>
    <w:rsid w:val="003B4830"/>
    <w:rsid w:val="003B4ABF"/>
    <w:rsid w:val="003B5078"/>
    <w:rsid w:val="003B605E"/>
    <w:rsid w:val="003B7148"/>
    <w:rsid w:val="003C5775"/>
    <w:rsid w:val="003D052C"/>
    <w:rsid w:val="003D08E2"/>
    <w:rsid w:val="003D180B"/>
    <w:rsid w:val="003D2A9B"/>
    <w:rsid w:val="003D5C81"/>
    <w:rsid w:val="003E0424"/>
    <w:rsid w:val="003E4C05"/>
    <w:rsid w:val="003E4E33"/>
    <w:rsid w:val="003F0211"/>
    <w:rsid w:val="003F15F6"/>
    <w:rsid w:val="003F26C8"/>
    <w:rsid w:val="003F4806"/>
    <w:rsid w:val="003F5D56"/>
    <w:rsid w:val="003F685F"/>
    <w:rsid w:val="00403055"/>
    <w:rsid w:val="00403322"/>
    <w:rsid w:val="004052E6"/>
    <w:rsid w:val="00405546"/>
    <w:rsid w:val="00405DC6"/>
    <w:rsid w:val="004071A4"/>
    <w:rsid w:val="00413C46"/>
    <w:rsid w:val="00414699"/>
    <w:rsid w:val="00414CCA"/>
    <w:rsid w:val="004160D7"/>
    <w:rsid w:val="00416D7D"/>
    <w:rsid w:val="00423FBC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7C4"/>
    <w:rsid w:val="00451867"/>
    <w:rsid w:val="0045242A"/>
    <w:rsid w:val="00454634"/>
    <w:rsid w:val="00463A5B"/>
    <w:rsid w:val="004674E9"/>
    <w:rsid w:val="00473932"/>
    <w:rsid w:val="004754A2"/>
    <w:rsid w:val="00475D5D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A76F4"/>
    <w:rsid w:val="004B2ED4"/>
    <w:rsid w:val="004B3EB8"/>
    <w:rsid w:val="004B6BBA"/>
    <w:rsid w:val="004B7753"/>
    <w:rsid w:val="004C1D00"/>
    <w:rsid w:val="004C21DA"/>
    <w:rsid w:val="004C5C4E"/>
    <w:rsid w:val="004D3439"/>
    <w:rsid w:val="004D4E33"/>
    <w:rsid w:val="004D7EF1"/>
    <w:rsid w:val="004E1422"/>
    <w:rsid w:val="004E40B7"/>
    <w:rsid w:val="004E47DB"/>
    <w:rsid w:val="004E7D50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37D1F"/>
    <w:rsid w:val="00540EE9"/>
    <w:rsid w:val="00544F2D"/>
    <w:rsid w:val="005526EC"/>
    <w:rsid w:val="00553589"/>
    <w:rsid w:val="00555303"/>
    <w:rsid w:val="00555E2E"/>
    <w:rsid w:val="0055699A"/>
    <w:rsid w:val="00560340"/>
    <w:rsid w:val="00560369"/>
    <w:rsid w:val="00560708"/>
    <w:rsid w:val="005632AA"/>
    <w:rsid w:val="00564CBC"/>
    <w:rsid w:val="005705E6"/>
    <w:rsid w:val="00572D4F"/>
    <w:rsid w:val="00572E4F"/>
    <w:rsid w:val="005743C6"/>
    <w:rsid w:val="005755DE"/>
    <w:rsid w:val="005766E9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2ED9"/>
    <w:rsid w:val="005C2FC2"/>
    <w:rsid w:val="005C3A92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7142"/>
    <w:rsid w:val="00667A5C"/>
    <w:rsid w:val="00670618"/>
    <w:rsid w:val="00670ECB"/>
    <w:rsid w:val="00672239"/>
    <w:rsid w:val="00681605"/>
    <w:rsid w:val="0068616D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42D7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0A07"/>
    <w:rsid w:val="00700586"/>
    <w:rsid w:val="00703181"/>
    <w:rsid w:val="0070618B"/>
    <w:rsid w:val="00710F9B"/>
    <w:rsid w:val="00711313"/>
    <w:rsid w:val="00713686"/>
    <w:rsid w:val="007203F2"/>
    <w:rsid w:val="00722780"/>
    <w:rsid w:val="00722E3B"/>
    <w:rsid w:val="00731888"/>
    <w:rsid w:val="00732B33"/>
    <w:rsid w:val="007346CD"/>
    <w:rsid w:val="0073751D"/>
    <w:rsid w:val="00737539"/>
    <w:rsid w:val="00746406"/>
    <w:rsid w:val="00756890"/>
    <w:rsid w:val="007607CB"/>
    <w:rsid w:val="007624D6"/>
    <w:rsid w:val="00762C71"/>
    <w:rsid w:val="00765471"/>
    <w:rsid w:val="00770E94"/>
    <w:rsid w:val="00771EEF"/>
    <w:rsid w:val="00774C01"/>
    <w:rsid w:val="0077713A"/>
    <w:rsid w:val="00785A04"/>
    <w:rsid w:val="007926AD"/>
    <w:rsid w:val="00793E7F"/>
    <w:rsid w:val="00794277"/>
    <w:rsid w:val="0079499D"/>
    <w:rsid w:val="00795ACB"/>
    <w:rsid w:val="00797DED"/>
    <w:rsid w:val="007A08F8"/>
    <w:rsid w:val="007A2399"/>
    <w:rsid w:val="007A2D8F"/>
    <w:rsid w:val="007A5DE5"/>
    <w:rsid w:val="007A66CE"/>
    <w:rsid w:val="007B16A4"/>
    <w:rsid w:val="007B25A2"/>
    <w:rsid w:val="007B2754"/>
    <w:rsid w:val="007B4772"/>
    <w:rsid w:val="007B5CD8"/>
    <w:rsid w:val="007B744C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0E9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3285"/>
    <w:rsid w:val="00824966"/>
    <w:rsid w:val="008258DB"/>
    <w:rsid w:val="00825FF2"/>
    <w:rsid w:val="008325F7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1395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B6EB3"/>
    <w:rsid w:val="008C0954"/>
    <w:rsid w:val="008C2375"/>
    <w:rsid w:val="008C5267"/>
    <w:rsid w:val="008D3F30"/>
    <w:rsid w:val="008E0EDA"/>
    <w:rsid w:val="008E252B"/>
    <w:rsid w:val="008E2DE6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66779"/>
    <w:rsid w:val="0097064B"/>
    <w:rsid w:val="00975265"/>
    <w:rsid w:val="00976B0E"/>
    <w:rsid w:val="00980E8E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4F7B"/>
    <w:rsid w:val="009D5116"/>
    <w:rsid w:val="009D5504"/>
    <w:rsid w:val="009D6985"/>
    <w:rsid w:val="009D7FCD"/>
    <w:rsid w:val="009E019E"/>
    <w:rsid w:val="009E25A0"/>
    <w:rsid w:val="009E52CB"/>
    <w:rsid w:val="009E7D90"/>
    <w:rsid w:val="009F1A2C"/>
    <w:rsid w:val="009F3EAB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E1B"/>
    <w:rsid w:val="00A755FF"/>
    <w:rsid w:val="00A816AB"/>
    <w:rsid w:val="00A92511"/>
    <w:rsid w:val="00A92C6C"/>
    <w:rsid w:val="00A92CC2"/>
    <w:rsid w:val="00A93A1C"/>
    <w:rsid w:val="00A9520D"/>
    <w:rsid w:val="00A95598"/>
    <w:rsid w:val="00AA0C4F"/>
    <w:rsid w:val="00AA13E8"/>
    <w:rsid w:val="00AA2EF3"/>
    <w:rsid w:val="00AA59DD"/>
    <w:rsid w:val="00AB05A4"/>
    <w:rsid w:val="00AB26AA"/>
    <w:rsid w:val="00AB3D99"/>
    <w:rsid w:val="00AB45BF"/>
    <w:rsid w:val="00AB7CCA"/>
    <w:rsid w:val="00AC1042"/>
    <w:rsid w:val="00AC2F26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0DB1"/>
    <w:rsid w:val="00B058BF"/>
    <w:rsid w:val="00B0648D"/>
    <w:rsid w:val="00B12015"/>
    <w:rsid w:val="00B14A35"/>
    <w:rsid w:val="00B15BCC"/>
    <w:rsid w:val="00B16061"/>
    <w:rsid w:val="00B165DF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511F"/>
    <w:rsid w:val="00B968EE"/>
    <w:rsid w:val="00B96934"/>
    <w:rsid w:val="00BA3303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D47B9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D7700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329B"/>
    <w:rsid w:val="00D256B8"/>
    <w:rsid w:val="00D257C2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5630"/>
    <w:rsid w:val="00D70957"/>
    <w:rsid w:val="00D70F4E"/>
    <w:rsid w:val="00D718BE"/>
    <w:rsid w:val="00D73D01"/>
    <w:rsid w:val="00D82D27"/>
    <w:rsid w:val="00D840EC"/>
    <w:rsid w:val="00D84EC7"/>
    <w:rsid w:val="00D8603E"/>
    <w:rsid w:val="00D86D70"/>
    <w:rsid w:val="00D903AE"/>
    <w:rsid w:val="00D937BF"/>
    <w:rsid w:val="00D97155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E311F"/>
    <w:rsid w:val="00DF1E7C"/>
    <w:rsid w:val="00DF357D"/>
    <w:rsid w:val="00E01049"/>
    <w:rsid w:val="00E019FA"/>
    <w:rsid w:val="00E040F6"/>
    <w:rsid w:val="00E07708"/>
    <w:rsid w:val="00E15401"/>
    <w:rsid w:val="00E211E7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64BCF"/>
    <w:rsid w:val="00E746AB"/>
    <w:rsid w:val="00E82658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5D64"/>
    <w:rsid w:val="00EB62C8"/>
    <w:rsid w:val="00EB76E4"/>
    <w:rsid w:val="00EC0636"/>
    <w:rsid w:val="00EC37AB"/>
    <w:rsid w:val="00ED56BB"/>
    <w:rsid w:val="00ED5B03"/>
    <w:rsid w:val="00EE08B4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0577B"/>
    <w:rsid w:val="00F12EC9"/>
    <w:rsid w:val="00F27878"/>
    <w:rsid w:val="00F30615"/>
    <w:rsid w:val="00F361CF"/>
    <w:rsid w:val="00F417BE"/>
    <w:rsid w:val="00F41E39"/>
    <w:rsid w:val="00F45998"/>
    <w:rsid w:val="00F46516"/>
    <w:rsid w:val="00F51E27"/>
    <w:rsid w:val="00F52332"/>
    <w:rsid w:val="00F5542B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65BC"/>
    <w:rsid w:val="00FD7B3B"/>
    <w:rsid w:val="00FE0627"/>
    <w:rsid w:val="00FE675B"/>
    <w:rsid w:val="00FE7122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82D2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82D27"/>
    <w:pPr>
      <w:spacing w:after="120"/>
      <w:ind w:left="283"/>
    </w:p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82D2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6E4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Текст акта"/>
    <w:link w:val="af2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акта Знак"/>
    <w:link w:val="af1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E252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8">
    <w:name w:val="Emphasis"/>
    <w:basedOn w:val="a0"/>
    <w:uiPriority w:val="20"/>
    <w:qFormat/>
    <w:rsid w:val="00283D91"/>
    <w:rPr>
      <w:i/>
      <w:iCs/>
    </w:rPr>
  </w:style>
  <w:style w:type="table" w:styleId="af9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a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character" w:customStyle="1" w:styleId="a8">
    <w:name w:val="Абзац списка Знак"/>
    <w:link w:val="a7"/>
    <w:uiPriority w:val="34"/>
    <w:locked/>
    <w:rsid w:val="001019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82D2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82D27"/>
    <w:pPr>
      <w:spacing w:after="120"/>
      <w:ind w:left="283"/>
    </w:p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82D2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6E4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Текст акта"/>
    <w:link w:val="af2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акта Знак"/>
    <w:link w:val="af1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E252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8">
    <w:name w:val="Emphasis"/>
    <w:basedOn w:val="a0"/>
    <w:uiPriority w:val="20"/>
    <w:qFormat/>
    <w:rsid w:val="00283D91"/>
    <w:rPr>
      <w:i/>
      <w:iCs/>
    </w:rPr>
  </w:style>
  <w:style w:type="table" w:styleId="af9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a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character" w:customStyle="1" w:styleId="a8">
    <w:name w:val="Абзац списка Знак"/>
    <w:link w:val="a7"/>
    <w:uiPriority w:val="34"/>
    <w:locked/>
    <w:rsid w:val="001019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4" Type="http://schemas.openxmlformats.org/officeDocument/2006/relationships/hyperlink" Target="https://normativ.kontur.ru/document?moduleid=1&amp;documentid=357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CF8B-64F0-4F71-AEDE-9DFA36BE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9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258</cp:revision>
  <cp:lastPrinted>2024-05-24T06:39:00Z</cp:lastPrinted>
  <dcterms:created xsi:type="dcterms:W3CDTF">2018-08-17T10:08:00Z</dcterms:created>
  <dcterms:modified xsi:type="dcterms:W3CDTF">2024-05-24T09:25:00Z</dcterms:modified>
</cp:coreProperties>
</file>