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0DC8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276AEE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276AEE">
      <w:pPr>
        <w:pStyle w:val="DefaultTex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000000" w:rsidRDefault="00276AEE">
      <w:pPr>
        <w:pStyle w:val="DefaultText"/>
        <w:jc w:val="center"/>
        <w:rPr>
          <w:b/>
          <w:bCs/>
          <w:sz w:val="28"/>
          <w:szCs w:val="28"/>
          <w:lang w:val="ru-RU"/>
        </w:rPr>
      </w:pPr>
    </w:p>
    <w:p w:rsidR="00000000" w:rsidRDefault="00276AEE">
      <w:pPr>
        <w:pStyle w:val="DefaultText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Segoe UI" w:hAnsi="Segoe UI" w:cs="Segoe UI"/>
          <w:b/>
          <w:bCs/>
          <w:sz w:val="32"/>
          <w:szCs w:val="32"/>
          <w:shd w:val="clear" w:color="auto" w:fill="FFFFFF"/>
          <w:lang w:val="ru-RU"/>
        </w:rPr>
        <w:t>Кадастровая палата: владельцам недвижимости необходимо сообщать о смене почтового адреса</w:t>
      </w:r>
    </w:p>
    <w:p w:rsidR="00000000" w:rsidRDefault="00276AEE">
      <w:pPr>
        <w:pStyle w:val="DefaultText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</w:p>
    <w:p w:rsidR="00000000" w:rsidRDefault="00276AEE">
      <w:p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ab/>
        <w:t>Сведения о почтовых адресах и адресах электронной почты всех владельцев  объектов недвижимости хранятся в государственном кадастре недвижимости с це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лью информирования о проведении процедуры согласования границ, уведомления собственника в случае выявления кадастровой ошибки, или о включении земельного участка в границы зон с особыми условиями использования территорий и других важных изменениях.</w:t>
      </w:r>
    </w:p>
    <w:p w:rsidR="00000000" w:rsidRDefault="00276AEE">
      <w:p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ab/>
        <w:t>Сведен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ия об адресе правообладателя вносятся в государственный кадастр недвижимости на основании заявления о кадастровом учете изменений объекта недвижимости. Это значит, что в случае изменения почтового адреса или адреса электронной почты обязанность сообщить ор</w:t>
      </w:r>
      <w:r>
        <w:rPr>
          <w:rFonts w:ascii="Segoe UI" w:hAnsi="Segoe UI" w:cs="Segoe UI"/>
          <w:sz w:val="24"/>
          <w:szCs w:val="24"/>
          <w:shd w:val="clear" w:color="auto" w:fill="FFFFFF"/>
        </w:rPr>
        <w:t>гану кадастрового учёта о каких-либо изменениях лежит на владельце недвижимости.</w:t>
      </w:r>
    </w:p>
    <w:p w:rsidR="00000000" w:rsidRDefault="00276AEE">
      <w:p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ab/>
        <w:t>Именно собственник недвижимости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в первую очередь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заинтересован в актуальности содержащихся в кадастре недвижимости сведений, так как пропущенное уведомление, к примеру, может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стать причиной нарушения прав владельца земельного участка со стороны соседей в процессе согласования границ, или даже привести к нарушению земельного законодательства с наложением денежного штрафа.</w:t>
      </w:r>
    </w:p>
    <w:p w:rsidR="00000000" w:rsidRDefault="00276AEE">
      <w:p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ab/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Как внести актуальный адрес в государственный кадастр н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едвижимости и оставаться в курсе важных изменений?</w:t>
      </w:r>
    </w:p>
    <w:p w:rsidR="00000000" w:rsidRDefault="00276AEE">
      <w:pPr>
        <w:pStyle w:val="ConsPlusNormal"/>
        <w:jc w:val="both"/>
        <w:rPr>
          <w:rFonts w:ascii="Segoe UI" w:eastAsia="Calibri" w:hAnsi="Segoe UI" w:cs="Segoe UI"/>
          <w:sz w:val="24"/>
          <w:szCs w:val="24"/>
          <w:shd w:val="clear" w:color="auto" w:fill="FFFFFF"/>
          <w:lang w:bidi="ar-SA"/>
        </w:rPr>
      </w:pPr>
      <w:r>
        <w:rPr>
          <w:rFonts w:ascii="Segoe UI" w:eastAsia="Calibri" w:hAnsi="Segoe UI" w:cs="Segoe UI"/>
          <w:sz w:val="24"/>
          <w:szCs w:val="24"/>
          <w:shd w:val="clear" w:color="auto" w:fill="FFFFFF"/>
          <w:lang w:bidi="ar-SA"/>
        </w:rPr>
        <w:tab/>
        <w:t xml:space="preserve">С заявлением об учете адреса правообладателя вправе обратиться собственник объекта недвижимости или исполнитель комплексных кадастровых работ (кадастровый инженер). </w:t>
      </w:r>
    </w:p>
    <w:p w:rsidR="00000000" w:rsidRDefault="00276AEE">
      <w:pPr>
        <w:pStyle w:val="ConsPlusNormal"/>
        <w:jc w:val="both"/>
        <w:rPr>
          <w:rFonts w:ascii="Segoe UI" w:eastAsia="Calibri" w:hAnsi="Segoe UI" w:cs="Segoe UI"/>
          <w:sz w:val="24"/>
          <w:szCs w:val="24"/>
          <w:shd w:val="clear" w:color="auto" w:fill="FFFFFF"/>
          <w:lang w:bidi="ar-SA"/>
        </w:rPr>
      </w:pPr>
      <w:r>
        <w:rPr>
          <w:rFonts w:ascii="Segoe UI" w:eastAsia="Calibri" w:hAnsi="Segoe UI" w:cs="Segoe UI"/>
          <w:sz w:val="24"/>
          <w:szCs w:val="24"/>
          <w:shd w:val="clear" w:color="auto" w:fill="FFFFFF"/>
          <w:lang w:bidi="ar-SA"/>
        </w:rPr>
        <w:tab/>
      </w:r>
      <w:proofErr w:type="gramStart"/>
      <w:r>
        <w:rPr>
          <w:rFonts w:ascii="Segoe UI" w:eastAsia="Calibri" w:hAnsi="Segoe UI" w:cs="Segoe UI"/>
          <w:sz w:val="24"/>
          <w:szCs w:val="24"/>
          <w:shd w:val="clear" w:color="auto" w:fill="FFFFFF"/>
          <w:lang w:bidi="ar-SA"/>
        </w:rPr>
        <w:t>С заявлением об учете адреса правообл</w:t>
      </w:r>
      <w:r>
        <w:rPr>
          <w:rFonts w:ascii="Segoe UI" w:eastAsia="Calibri" w:hAnsi="Segoe UI" w:cs="Segoe UI"/>
          <w:sz w:val="24"/>
          <w:szCs w:val="24"/>
          <w:shd w:val="clear" w:color="auto" w:fill="FFFFFF"/>
          <w:lang w:bidi="ar-SA"/>
        </w:rPr>
        <w:t xml:space="preserve">адателя здания, сооружения, помещения либо объекта незавершенного строительства, находящихся в государственной или муниципальной собственности и предоставленных на праве оперативного управления, хозяйственного ведения, доверительного управления или аренды </w:t>
      </w:r>
      <w:r>
        <w:rPr>
          <w:rFonts w:ascii="Segoe UI" w:eastAsia="Calibri" w:hAnsi="Segoe UI" w:cs="Segoe UI"/>
          <w:sz w:val="24"/>
          <w:szCs w:val="24"/>
          <w:shd w:val="clear" w:color="auto" w:fill="FFFFFF"/>
          <w:lang w:bidi="ar-SA"/>
        </w:rPr>
        <w:t>(если соответствующий договор аренды заключен на срок более чем пять лет), вправе обратиться лицо, обладающее этими зданием, сооружением, помещением либо объектом незавершенного строительства на таком праве.</w:t>
      </w:r>
      <w:proofErr w:type="gramEnd"/>
    </w:p>
    <w:p w:rsidR="00000000" w:rsidRDefault="00276AEE">
      <w:p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ab/>
        <w:t>Сведения об адресе электронной почты и свои кон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тактные данные можно подать вместе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с заявлением об учёте изменений объекта недвижимости в связи с изменением адреса правообладателя в любом офисе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Кадастровой палаты по Пермскому краю или МФЦ.</w:t>
      </w:r>
    </w:p>
    <w:p w:rsidR="00000000" w:rsidRDefault="00276AEE">
      <w:pPr>
        <w:jc w:val="both"/>
      </w:pPr>
      <w:r>
        <w:rPr>
          <w:rFonts w:ascii="Segoe UI" w:hAnsi="Segoe UI" w:cs="Segoe UI"/>
          <w:sz w:val="24"/>
          <w:szCs w:val="24"/>
          <w:shd w:val="clear" w:color="auto" w:fill="FFFFFF"/>
        </w:rPr>
        <w:tab/>
        <w:t>Бланки заявлений размещены в офисах приёма-выдачи документов Ка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дастровой палаты по Пермскому краю.</w:t>
      </w:r>
    </w:p>
    <w:p w:rsidR="00000000" w:rsidRDefault="00276AEE">
      <w:pPr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9pt;height:.45pt;z-index:1" o:connectortype="straight" strokecolor="#0070c0" strokeweight=".44mm">
            <v:stroke color2="#ff8f3f" joinstyle="miter" endcap="square"/>
          </v:shape>
        </w:pict>
      </w:r>
    </w:p>
    <w:p w:rsidR="00000000" w:rsidRDefault="00276AEE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276AEE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осуществляет функции по ведению государственного кадастра недвижимости (ГКН), государственном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276AEE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276AEE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000000" w:rsidRDefault="00276AEE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000000" w:rsidRDefault="00276AEE">
      <w:pPr>
        <w:pStyle w:val="ad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</w:t>
      </w:r>
      <w:r>
        <w:rPr>
          <w:rFonts w:ascii="Segoe UI" w:eastAsia="Calibri" w:hAnsi="Segoe UI" w:cs="Segoe UI"/>
          <w:sz w:val="18"/>
          <w:szCs w:val="18"/>
          <w:lang w:eastAsia="en-US"/>
        </w:rPr>
        <w:t>о Пермскому краю</w:t>
      </w:r>
    </w:p>
    <w:p w:rsidR="00000000" w:rsidRDefault="00276AEE">
      <w:pPr>
        <w:pStyle w:val="ad"/>
        <w:spacing w:after="0"/>
      </w:pPr>
      <w:r>
        <w:rPr>
          <w:rFonts w:ascii="Segoe UI" w:eastAsia="Calibri" w:hAnsi="Segoe UI" w:cs="Segoe UI"/>
          <w:sz w:val="22"/>
          <w:szCs w:val="22"/>
          <w:lang w:eastAsia="en-US"/>
        </w:rPr>
        <w:t>Тел.: + 7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> </w:t>
      </w:r>
      <w:r>
        <w:rPr>
          <w:rFonts w:ascii="Segoe UI" w:eastAsia="Calibri" w:hAnsi="Segoe UI" w:cs="Segoe UI"/>
          <w:sz w:val="22"/>
          <w:szCs w:val="22"/>
          <w:lang w:eastAsia="en-US"/>
        </w:rPr>
        <w:t>(342)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> </w:t>
      </w:r>
      <w:r>
        <w:rPr>
          <w:rFonts w:ascii="Segoe UI" w:eastAsia="Calibri" w:hAnsi="Segoe UI" w:cs="Segoe UI"/>
          <w:sz w:val="22"/>
          <w:szCs w:val="22"/>
          <w:lang w:eastAsia="en-US"/>
        </w:rPr>
        <w:t>281-82-42</w:t>
      </w:r>
    </w:p>
    <w:p w:rsidR="00000000" w:rsidRDefault="00276AEE">
      <w:pPr>
        <w:pStyle w:val="ad"/>
        <w:spacing w:after="0"/>
      </w:pPr>
      <w:hyperlink r:id="rId5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press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59@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u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000000" w:rsidRDefault="00276AEE">
      <w:pPr>
        <w:pStyle w:val="ad"/>
        <w:spacing w:after="0"/>
      </w:pPr>
      <w:hyperlink r:id="rId6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www</w:t>
        </w:r>
        <w:r w:rsidRPr="007D0DC8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kadastr</w:t>
        </w:r>
        <w:proofErr w:type="spellEnd"/>
        <w:r w:rsidRPr="007D0DC8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276AEE" w:rsidRDefault="00276AEE">
      <w:pPr>
        <w:pStyle w:val="ad"/>
        <w:spacing w:after="0"/>
      </w:pPr>
    </w:p>
    <w:sectPr w:rsidR="00276AEE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C8"/>
    <w:rsid w:val="00276AEE"/>
    <w:rsid w:val="007D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Arial"/>
      <w:lang w:eastAsia="zh-CN" w:bidi="hi-IN"/>
    </w:rPr>
  </w:style>
  <w:style w:type="paragraph" w:customStyle="1" w:styleId="DefaultText">
    <w:name w:val="Default Text"/>
    <w:pPr>
      <w:widowControl w:val="0"/>
      <w:suppressAutoHyphens/>
    </w:pPr>
    <w:rPr>
      <w:rFonts w:ascii="Liberation Serif" w:eastAsia="SimSun" w:hAnsi="Liberation Seri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Финуправление Суксун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2016-08-22T12:19:00Z</cp:lastPrinted>
  <dcterms:created xsi:type="dcterms:W3CDTF">2016-10-31T04:40:00Z</dcterms:created>
  <dcterms:modified xsi:type="dcterms:W3CDTF">2016-10-31T04:40:00Z</dcterms:modified>
</cp:coreProperties>
</file>