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F78EE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E43B55">
      <w:pPr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E43B55">
      <w:pPr>
        <w:jc w:val="center"/>
        <w:rPr>
          <w:rFonts w:ascii="Segoe UI" w:hAnsi="Segoe UI" w:cs="Segoe UI"/>
          <w:b/>
          <w:bCs/>
          <w:sz w:val="32"/>
          <w:szCs w:val="32"/>
          <w:lang w:val="ru-RU" w:eastAsia="ru-RU"/>
        </w:rPr>
      </w:pPr>
    </w:p>
    <w:p w:rsidR="00000000" w:rsidRDefault="00E43B55">
      <w:pPr>
        <w:jc w:val="center"/>
        <w:rPr>
          <w:rFonts w:ascii="Segoe UI" w:eastAsia="SimSun" w:hAnsi="Segoe UI" w:cs="Segoe UI"/>
          <w:color w:val="000000"/>
          <w:sz w:val="24"/>
          <w:szCs w:val="24"/>
          <w:lang w:bidi="hi-IN"/>
        </w:rPr>
      </w:pPr>
      <w:r>
        <w:rPr>
          <w:rFonts w:ascii="Segoe UI" w:eastAsia="SimSun" w:hAnsi="Segoe UI" w:cs="Segoe UI"/>
          <w:b/>
          <w:bCs/>
          <w:color w:val="000000"/>
          <w:sz w:val="32"/>
          <w:szCs w:val="32"/>
          <w:lang w:bidi="hi-IN"/>
        </w:rPr>
        <w:t>О чём нужно позаботиться перед покупкой земельного участка для строительства жилого дома?</w:t>
      </w:r>
    </w:p>
    <w:p w:rsidR="00000000" w:rsidRDefault="00E43B55">
      <w:pPr>
        <w:pStyle w:val="DefaultText"/>
        <w:spacing w:line="276" w:lineRule="auto"/>
        <w:jc w:val="both"/>
        <w:rPr>
          <w:rFonts w:ascii="Segoe UI" w:hAnsi="Segoe UI" w:cs="Segoe UI"/>
          <w:color w:val="000000"/>
          <w:lang w:val="ru-RU" w:eastAsia="zh-CN" w:bidi="hi-IN"/>
        </w:rPr>
      </w:pPr>
      <w:r>
        <w:rPr>
          <w:rFonts w:ascii="Segoe UI" w:hAnsi="Segoe UI" w:cs="Segoe UI"/>
          <w:color w:val="000000"/>
          <w:lang w:val="ru-RU" w:eastAsia="zh-CN" w:bidi="hi-IN"/>
        </w:rPr>
        <w:tab/>
        <w:t xml:space="preserve">Прежде всего, перед покупкой земельного участка для строительства дома необходимо уточнить категорию земель и вид разрешённого использования.  </w:t>
      </w:r>
    </w:p>
    <w:p w:rsidR="00000000" w:rsidRDefault="00E43B55">
      <w:pPr>
        <w:pStyle w:val="ConsPlusNormal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Согла</w:t>
      </w:r>
      <w:r>
        <w:rPr>
          <w:rFonts w:ascii="Segoe UI" w:hAnsi="Segoe UI" w:cs="Segoe UI"/>
          <w:color w:val="000000"/>
          <w:sz w:val="24"/>
          <w:szCs w:val="24"/>
        </w:rPr>
        <w:t xml:space="preserve">сно действующему законодательству все земельные участки должны использоваться по назначению, то есть в соответствии с установленными категорией и видом разрешённого использования. </w:t>
      </w:r>
      <w:proofErr w:type="gramEnd"/>
    </w:p>
    <w:p w:rsidR="00000000" w:rsidRDefault="00E43B55">
      <w:pPr>
        <w:pStyle w:val="ConsPlusNormal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Segoe UI" w:hAnsi="Segoe UI" w:cs="Segoe UI"/>
          <w:color w:val="000000"/>
          <w:sz w:val="24"/>
          <w:szCs w:val="24"/>
        </w:rPr>
        <w:t xml:space="preserve">Согласно </w:t>
      </w:r>
      <w:r>
        <w:rPr>
          <w:rFonts w:ascii="Segoe UI" w:hAnsi="Segoe UI" w:cs="Segoe UI"/>
          <w:color w:val="000000"/>
          <w:sz w:val="24"/>
          <w:szCs w:val="24"/>
        </w:rPr>
        <w:t>Земельн</w:t>
      </w:r>
      <w:r>
        <w:rPr>
          <w:rFonts w:ascii="Segoe UI" w:hAnsi="Segoe UI" w:cs="Segoe UI"/>
          <w:color w:val="000000"/>
          <w:sz w:val="24"/>
          <w:szCs w:val="24"/>
        </w:rPr>
        <w:t>ому</w:t>
      </w:r>
      <w:r>
        <w:rPr>
          <w:rFonts w:ascii="Segoe UI" w:hAnsi="Segoe UI" w:cs="Segoe UI"/>
          <w:color w:val="000000"/>
          <w:sz w:val="24"/>
          <w:szCs w:val="24"/>
        </w:rPr>
        <w:t xml:space="preserve"> кодекс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>
        <w:rPr>
          <w:rFonts w:ascii="Segoe UI" w:hAnsi="Segoe UI" w:cs="Segoe UI"/>
          <w:color w:val="000000"/>
          <w:sz w:val="24"/>
          <w:szCs w:val="24"/>
        </w:rPr>
        <w:t xml:space="preserve"> Российской Федерации все земли </w:t>
      </w:r>
      <w:r>
        <w:rPr>
          <w:rFonts w:ascii="Segoe UI" w:hAnsi="Segoe UI" w:cs="Segoe UI"/>
          <w:color w:val="000000"/>
          <w:sz w:val="24"/>
          <w:szCs w:val="24"/>
        </w:rPr>
        <w:t>по своему целев</w:t>
      </w:r>
      <w:r>
        <w:rPr>
          <w:rFonts w:ascii="Segoe UI" w:hAnsi="Segoe UI" w:cs="Segoe UI"/>
          <w:color w:val="000000"/>
          <w:sz w:val="24"/>
          <w:szCs w:val="24"/>
        </w:rPr>
        <w:t xml:space="preserve">ому назначению </w:t>
      </w:r>
      <w:r>
        <w:rPr>
          <w:rFonts w:ascii="Segoe UI" w:hAnsi="Segoe UI" w:cs="Segoe UI"/>
          <w:color w:val="000000"/>
          <w:sz w:val="24"/>
          <w:szCs w:val="24"/>
        </w:rPr>
        <w:t>делятся на 7 категорий: земли сельскохозяйственного назначения; земли населённых пунктов; промышленного и иного специального назначения; земли особо охраняемых территорий и объектов;  земли лесного фонда; водного фонда; земли запаса.</w:t>
      </w:r>
    </w:p>
    <w:p w:rsidR="00000000" w:rsidRDefault="00E43B55">
      <w:pPr>
        <w:pStyle w:val="ConsPlusNormal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Строит</w:t>
      </w:r>
      <w:r>
        <w:rPr>
          <w:rFonts w:ascii="Segoe UI" w:hAnsi="Segoe UI" w:cs="Segoe UI"/>
          <w:color w:val="000000"/>
          <w:sz w:val="24"/>
          <w:szCs w:val="24"/>
        </w:rPr>
        <w:t xml:space="preserve">ельство индивидуального жилого дома возможно только на участках, относящихся к категории земель населённых пунктов. </w:t>
      </w:r>
    </w:p>
    <w:p w:rsidR="00000000" w:rsidRDefault="00E43B55">
      <w:pPr>
        <w:pStyle w:val="ConsPlusNormal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 xml:space="preserve">Уточнить, к какой категории и виду разрешённого использования относится конкретный земельный участок, можно с помощью бесплатного сервиса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«Публичная кадастровая карта» или официального запроса сведений, содержащихся в государственном кадастре недвижимости, в виде кадастрового паспорта.</w:t>
      </w:r>
    </w:p>
    <w:p w:rsidR="00000000" w:rsidRDefault="00E43B55">
      <w:pPr>
        <w:spacing w:after="0"/>
        <w:jc w:val="both"/>
        <w:rPr>
          <w:rFonts w:ascii="Segoe UI" w:eastAsia="SimSun" w:hAnsi="Segoe UI" w:cs="Segoe UI"/>
          <w:color w:val="000000"/>
          <w:sz w:val="24"/>
          <w:szCs w:val="24"/>
          <w:lang w:bidi="hi-IN"/>
        </w:rPr>
      </w:pP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ab/>
        <w:t>Кроме того, любой земельный участок, права на который были зарегистрированы ранее, может быть в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 xml:space="preserve">ключён в границы зоны с особыми условиями использования территорий в соответствии с актами уполномоченных органов законодательной и исполнительной власти (федеральные законы, постановления Правительства РФ, </w:t>
      </w:r>
      <w:proofErr w:type="spellStart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СНиП</w:t>
      </w:r>
      <w:proofErr w:type="spellEnd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 xml:space="preserve">, </w:t>
      </w:r>
      <w:proofErr w:type="spellStart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СанПин</w:t>
      </w:r>
      <w:proofErr w:type="spellEnd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, законы и постановления субъектов РФ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 xml:space="preserve">). </w:t>
      </w:r>
    </w:p>
    <w:p w:rsidR="00000000" w:rsidRDefault="00E43B55">
      <w:pPr>
        <w:spacing w:after="0"/>
        <w:jc w:val="both"/>
        <w:rPr>
          <w:rFonts w:ascii="Segoe UI" w:eastAsia="SimSun" w:hAnsi="Segoe UI" w:cs="Segoe UI"/>
          <w:color w:val="000000"/>
          <w:sz w:val="24"/>
          <w:szCs w:val="24"/>
          <w:lang w:bidi="hi-IN"/>
        </w:rPr>
      </w:pP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ab/>
        <w:t xml:space="preserve">К зонам с особыми условиями использования </w:t>
      </w:r>
      <w:proofErr w:type="gramStart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территорий</w:t>
      </w:r>
      <w:proofErr w:type="gramEnd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 xml:space="preserve"> в том числе относятся зоны размещения линейных объектов — линий электропередач, связи (в том числе линейно-кабельные сооружения), трубопроводов (водопровод, канализация, газопровод, теплотрасса и др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.), автомобильных дороги, железнодорожных лини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й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 xml:space="preserve"> и других подобны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х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 xml:space="preserve"> сооружени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й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.</w:t>
      </w:r>
    </w:p>
    <w:p w:rsidR="00000000" w:rsidRDefault="00E43B55">
      <w:pPr>
        <w:spacing w:after="0"/>
        <w:jc w:val="both"/>
        <w:rPr>
          <w:rFonts w:ascii="Segoe UI" w:eastAsia="SimSun" w:hAnsi="Segoe UI" w:cs="Segoe UI"/>
          <w:color w:val="000000"/>
          <w:sz w:val="24"/>
          <w:szCs w:val="24"/>
          <w:lang w:bidi="hi-IN"/>
        </w:rPr>
      </w:pP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lastRenderedPageBreak/>
        <w:tab/>
        <w:t xml:space="preserve">В границах таких зон может быть введён особый режим использования земельных участков, запрещающий создание объектов капитального строительства. </w:t>
      </w:r>
    </w:p>
    <w:p w:rsidR="00000000" w:rsidRDefault="00E43B55">
      <w:pPr>
        <w:spacing w:after="0"/>
        <w:jc w:val="both"/>
        <w:rPr>
          <w:rFonts w:ascii="Segoe UI" w:eastAsia="SimSun" w:hAnsi="Segoe UI" w:cs="Segoe UI"/>
          <w:color w:val="000000"/>
          <w:sz w:val="24"/>
          <w:szCs w:val="24"/>
          <w:lang w:bidi="hi-IN"/>
        </w:rPr>
      </w:pP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ab/>
        <w:t>Запись об установлении соответс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твующего обременения вносится в Государственный кадастр недвижимости после поступления сведений от уполномоченного органа, например, местной администрации, либо от правообладателя объекта, в отношении которого в соответствии с действующим законодательством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 xml:space="preserve"> устанавливается охранная зона.</w:t>
      </w:r>
    </w:p>
    <w:p w:rsidR="00000000" w:rsidRDefault="00E43B55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ab/>
        <w:t xml:space="preserve">Информация об обременениях содержится в кадастровом паспорте и отражена в электронных сервисах «Публичная кадастровая карта» и «Узнать об ограничениях на земельный участок», размещённых на официальном сайте ФГБУ «ФКП </w:t>
      </w:r>
      <w:proofErr w:type="spellStart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Росрее</w:t>
      </w:r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стра</w:t>
      </w:r>
      <w:proofErr w:type="spellEnd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 xml:space="preserve">»: </w:t>
      </w:r>
      <w:proofErr w:type="spellStart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kadastr.ru</w:t>
      </w:r>
      <w:proofErr w:type="spellEnd"/>
      <w:r>
        <w:rPr>
          <w:rFonts w:ascii="Segoe UI" w:eastAsia="SimSun" w:hAnsi="Segoe UI" w:cs="Segoe UI"/>
          <w:color w:val="000000"/>
          <w:sz w:val="24"/>
          <w:szCs w:val="24"/>
          <w:lang w:bidi="hi-IN"/>
        </w:rPr>
        <w:t>, в разделе «Электронные услуги и сервисы».</w:t>
      </w:r>
    </w:p>
    <w:p w:rsidR="00000000" w:rsidRDefault="00E43B55">
      <w:pPr>
        <w:spacing w:after="0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  <w:t xml:space="preserve">Подробности о работе электронных сервисов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узнать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телефону ведомственного центра телефонного обслуживания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(ВЦТО).</w:t>
      </w:r>
    </w:p>
    <w:p w:rsidR="00000000" w:rsidRDefault="00E43B55">
      <w:pPr>
        <w:jc w:val="both"/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ab/>
        <w:t>Единый многоканальный номер горячей линии ВЦТО: 8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-800-100-34-34 доступен круглосуточно, а звонок является бесплатным.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000000" w:rsidRDefault="00E43B55">
      <w:pPr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pt;height:.5pt;z-index:1" o:connectortype="straight" strokecolor="#0070c0" strokeweight=".44mm">
            <v:stroke color2="#ff8f3f" joinstyle="miter" endcap="square"/>
          </v:shape>
        </w:pict>
      </w:r>
    </w:p>
    <w:p w:rsidR="00000000" w:rsidRDefault="00E43B5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E43B5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осуществляет функции по ведению государственного кадастра 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E43B55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E43B55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E43B55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000000" w:rsidRDefault="00E43B55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000000" w:rsidRDefault="00E43B55">
      <w:pPr>
        <w:pStyle w:val="ad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0000" w:rsidRDefault="00E43B55">
      <w:pPr>
        <w:pStyle w:val="ad"/>
        <w:spacing w:after="0"/>
      </w:pPr>
      <w:r>
        <w:rPr>
          <w:rFonts w:ascii="Segoe UI" w:eastAsia="Calibri" w:hAnsi="Segoe UI" w:cs="Segoe UI"/>
          <w:sz w:val="22"/>
          <w:szCs w:val="22"/>
          <w:lang w:eastAsia="en-US"/>
        </w:rPr>
        <w:t>Тел.: + 7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> </w:t>
      </w:r>
      <w:r>
        <w:rPr>
          <w:rFonts w:ascii="Segoe UI" w:eastAsia="Calibri" w:hAnsi="Segoe UI" w:cs="Segoe UI"/>
          <w:sz w:val="22"/>
          <w:szCs w:val="22"/>
          <w:lang w:eastAsia="en-US"/>
        </w:rPr>
        <w:t>(342)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> </w:t>
      </w:r>
      <w:r>
        <w:rPr>
          <w:rFonts w:ascii="Segoe UI" w:eastAsia="Calibri" w:hAnsi="Segoe UI" w:cs="Segoe UI"/>
          <w:sz w:val="22"/>
          <w:szCs w:val="22"/>
          <w:lang w:eastAsia="en-US"/>
        </w:rPr>
        <w:t>281-82-42</w:t>
      </w:r>
    </w:p>
    <w:p w:rsidR="00000000" w:rsidRDefault="00E43B55">
      <w:pPr>
        <w:pStyle w:val="ad"/>
        <w:spacing w:after="0"/>
      </w:pPr>
      <w:hyperlink r:id="rId5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press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59@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u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E43B55" w:rsidRDefault="00E43B55">
      <w:pPr>
        <w:pStyle w:val="ad"/>
        <w:spacing w:after="0"/>
      </w:pPr>
      <w:hyperlink r:id="rId6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www</w:t>
        </w:r>
        <w:r w:rsidRPr="002F78EE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kadastr</w:t>
        </w:r>
        <w:proofErr w:type="spellEnd"/>
        <w:r w:rsidRPr="002F78EE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sectPr w:rsidR="00E43B5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EE"/>
    <w:rsid w:val="002F78EE"/>
    <w:rsid w:val="00E4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Arial"/>
      <w:lang w:eastAsia="zh-CN" w:bidi="hi-IN"/>
    </w:rPr>
  </w:style>
  <w:style w:type="paragraph" w:customStyle="1" w:styleId="DefaultText">
    <w:name w:val="Default Text"/>
    <w:pPr>
      <w:widowControl w:val="0"/>
      <w:suppressAutoHyphens/>
    </w:pPr>
    <w:rPr>
      <w:rFonts w:ascii="Liberation Serif" w:eastAsia="SimSun" w:hAnsi="Liberation Seri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>Финуправление Суксун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2016-08-22T12:19:00Z</cp:lastPrinted>
  <dcterms:created xsi:type="dcterms:W3CDTF">2016-09-28T11:09:00Z</dcterms:created>
  <dcterms:modified xsi:type="dcterms:W3CDTF">2016-09-28T11:09:00Z</dcterms:modified>
</cp:coreProperties>
</file>