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D50BC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5" o:title="kadastr"/>
          </v:shape>
        </w:pict>
      </w:r>
    </w:p>
    <w:p w:rsidR="00000000" w:rsidRDefault="008A3C5B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8A3C5B">
      <w:pPr>
        <w:pStyle w:val="ae"/>
        <w:shd w:val="clear" w:color="auto" w:fill="FFFFFF"/>
        <w:spacing w:after="0"/>
        <w:jc w:val="center"/>
        <w:rPr>
          <w:rFonts w:ascii="Segoe UI" w:hAnsi="Segoe UI" w:cs="Segoe UI"/>
          <w:b/>
          <w:bCs/>
          <w:color w:val="141823"/>
          <w:sz w:val="28"/>
          <w:szCs w:val="28"/>
        </w:rPr>
      </w:pPr>
    </w:p>
    <w:p w:rsidR="00000000" w:rsidRDefault="008A3C5B">
      <w:pPr>
        <w:pStyle w:val="ae"/>
        <w:shd w:val="clear" w:color="auto" w:fill="FFFFFF"/>
        <w:spacing w:after="0"/>
        <w:jc w:val="center"/>
        <w:rPr>
          <w:rFonts w:ascii="Segoe UI" w:hAnsi="Segoe UI" w:cs="Segoe UI"/>
          <w:b/>
          <w:bCs/>
          <w:color w:val="141823"/>
          <w:sz w:val="28"/>
          <w:szCs w:val="28"/>
        </w:rPr>
      </w:pPr>
      <w:r>
        <w:rPr>
          <w:rFonts w:ascii="Segoe UI" w:hAnsi="Segoe UI" w:cs="Segoe UI"/>
          <w:b/>
          <w:bCs/>
          <w:color w:val="141823"/>
          <w:sz w:val="28"/>
          <w:szCs w:val="28"/>
        </w:rPr>
        <w:t>Ошибка в государственном кадастре недвижимости: что это и как исправить?</w:t>
      </w:r>
    </w:p>
    <w:p w:rsidR="00000000" w:rsidRDefault="008A3C5B">
      <w:pPr>
        <w:pStyle w:val="ae"/>
        <w:shd w:val="clear" w:color="auto" w:fill="FFFFFF"/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000000" w:rsidRDefault="008A3C5B">
      <w:pPr>
        <w:pStyle w:val="ae"/>
        <w:shd w:val="clear" w:color="auto" w:fill="FFFFFF"/>
        <w:spacing w:after="0"/>
        <w:jc w:val="both"/>
        <w:rPr>
          <w:rFonts w:ascii="Segoe UI" w:hAnsi="Segoe UI" w:cs="Segoe UI"/>
          <w:color w:val="141823"/>
        </w:rPr>
      </w:pPr>
      <w:r>
        <w:rPr>
          <w:rFonts w:ascii="Segoe UI" w:hAnsi="Segoe UI" w:cs="Segoe UI"/>
          <w:color w:val="141823"/>
        </w:rPr>
        <w:tab/>
        <w:t xml:space="preserve">За первые семь месяцев 2016 года Кадастровая палата по Пермскому краю внесла в государственный кадастр недвижимости (ГКН) </w:t>
      </w:r>
      <w:r>
        <w:rPr>
          <w:rFonts w:ascii="Segoe UI" w:hAnsi="Segoe UI" w:cs="Segoe UI"/>
          <w:b/>
          <w:bCs/>
          <w:color w:val="141823"/>
        </w:rPr>
        <w:t>более 600</w:t>
      </w:r>
      <w:r>
        <w:rPr>
          <w:rFonts w:ascii="Segoe UI" w:hAnsi="Segoe UI" w:cs="Segoe UI"/>
          <w:color w:val="141823"/>
        </w:rPr>
        <w:t xml:space="preserve"> изменений с целью устранения ошибо</w:t>
      </w:r>
      <w:r>
        <w:rPr>
          <w:rFonts w:ascii="Segoe UI" w:hAnsi="Segoe UI" w:cs="Segoe UI"/>
          <w:color w:val="141823"/>
        </w:rPr>
        <w:t>к и неточностей, допущенных в предоставленных на кадастровый учёт документах.</w:t>
      </w:r>
    </w:p>
    <w:p w:rsidR="00000000" w:rsidRDefault="008A3C5B">
      <w:pPr>
        <w:pStyle w:val="aa"/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Style w:val="a6"/>
          <w:rFonts w:ascii="Segoe UI" w:hAnsi="Segoe UI" w:cs="Segoe UI"/>
          <w:i w:val="0"/>
          <w:color w:val="000000"/>
          <w:sz w:val="24"/>
          <w:szCs w:val="24"/>
        </w:rPr>
        <w:tab/>
        <w:t>Сведения государственного кадастра недвижимости, как и любого другого информационного ресурса, могут порой</w:t>
      </w:r>
      <w:r>
        <w:rPr>
          <w:rFonts w:ascii="Segoe UI" w:hAnsi="Segoe UI" w:cs="Segoe UI"/>
          <w:color w:val="000000"/>
          <w:sz w:val="24"/>
          <w:szCs w:val="24"/>
        </w:rPr>
        <w:t xml:space="preserve"> не соответствовать действительности, так как вносятся на основании раз</w:t>
      </w:r>
      <w:r>
        <w:rPr>
          <w:rFonts w:ascii="Segoe UI" w:hAnsi="Segoe UI" w:cs="Segoe UI"/>
          <w:color w:val="000000"/>
          <w:sz w:val="24"/>
          <w:szCs w:val="24"/>
        </w:rPr>
        <w:t>личных документов-источников, подготовкой которых занимаются третьи лица. Несмотря на тщательную проверку таких документов, которую орган кадастрового учёта проводит перед внесением в кадастр каких-либо сведений, ошибки случаются. При этом о</w:t>
      </w:r>
      <w:r>
        <w:rPr>
          <w:rStyle w:val="a6"/>
          <w:rFonts w:ascii="Segoe UI" w:hAnsi="Segoe UI" w:cs="Segoe UI"/>
          <w:i w:val="0"/>
          <w:color w:val="000000"/>
          <w:sz w:val="24"/>
          <w:szCs w:val="24"/>
        </w:rPr>
        <w:t>шибки, содержащ</w:t>
      </w:r>
      <w:r>
        <w:rPr>
          <w:rStyle w:val="a6"/>
          <w:rFonts w:ascii="Segoe UI" w:hAnsi="Segoe UI" w:cs="Segoe UI"/>
          <w:i w:val="0"/>
          <w:color w:val="000000"/>
          <w:sz w:val="24"/>
          <w:szCs w:val="24"/>
        </w:rPr>
        <w:t xml:space="preserve">иеся в кадастре недвижимости, </w:t>
      </w:r>
      <w:r>
        <w:rPr>
          <w:rFonts w:ascii="Segoe UI" w:hAnsi="Segoe UI" w:cs="Segoe UI"/>
          <w:color w:val="000000"/>
          <w:sz w:val="24"/>
          <w:szCs w:val="24"/>
        </w:rPr>
        <w:t>могут быть двух видов — техническими и кадастровыми.</w:t>
      </w:r>
    </w:p>
    <w:p w:rsidR="00000000" w:rsidRDefault="008A3C5B">
      <w:pPr>
        <w:pStyle w:val="aa"/>
        <w:spacing w:after="0" w:line="240" w:lineRule="auto"/>
        <w:jc w:val="both"/>
        <w:rPr>
          <w:rStyle w:val="a7"/>
          <w:rFonts w:ascii="Segoe UI" w:hAnsi="Segoe UI" w:cs="Segoe UI"/>
          <w:b w:val="0"/>
          <w:color w:val="000000"/>
          <w:sz w:val="24"/>
          <w:szCs w:val="24"/>
        </w:rPr>
      </w:pPr>
      <w:r>
        <w:rPr>
          <w:rStyle w:val="a7"/>
          <w:rFonts w:ascii="Segoe UI" w:hAnsi="Segoe UI" w:cs="Segoe UI"/>
          <w:color w:val="000000"/>
          <w:sz w:val="24"/>
          <w:szCs w:val="24"/>
        </w:rPr>
        <w:tab/>
        <w:t xml:space="preserve">Технической ошибкой </w:t>
      </w:r>
      <w:r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</w:rPr>
        <w:t>считается та, что была</w:t>
      </w:r>
      <w:r>
        <w:rPr>
          <w:rStyle w:val="a7"/>
          <w:rFonts w:ascii="Segoe UI" w:hAnsi="Segoe UI" w:cs="Segoe UI"/>
          <w:b w:val="0"/>
          <w:color w:val="000000"/>
          <w:sz w:val="24"/>
          <w:szCs w:val="24"/>
        </w:rPr>
        <w:t xml:space="preserve"> допущена сотрудником органа кадастрового учёта при внесении сведений в ГКН, при том что документ-источник был </w:t>
      </w:r>
      <w:proofErr w:type="gramStart"/>
      <w:r>
        <w:rPr>
          <w:rStyle w:val="a7"/>
          <w:rFonts w:ascii="Segoe UI" w:hAnsi="Segoe UI" w:cs="Segoe UI"/>
          <w:b w:val="0"/>
          <w:color w:val="000000"/>
          <w:sz w:val="24"/>
          <w:szCs w:val="24"/>
        </w:rPr>
        <w:t>подготовлен</w:t>
      </w:r>
      <w:proofErr w:type="gramEnd"/>
      <w:r>
        <w:rPr>
          <w:rStyle w:val="a7"/>
          <w:rFonts w:ascii="Segoe UI" w:hAnsi="Segoe UI" w:cs="Segoe UI"/>
          <w:b w:val="0"/>
          <w:color w:val="000000"/>
          <w:sz w:val="24"/>
          <w:szCs w:val="24"/>
        </w:rPr>
        <w:t xml:space="preserve"> верно. </w:t>
      </w:r>
      <w:r>
        <w:rPr>
          <w:rStyle w:val="a7"/>
          <w:rFonts w:ascii="Segoe UI" w:hAnsi="Segoe UI" w:cs="Segoe UI"/>
          <w:b w:val="0"/>
          <w:color w:val="000000"/>
          <w:sz w:val="24"/>
          <w:szCs w:val="24"/>
        </w:rPr>
        <w:t>Это могут быть опечатка, грамматическая ошибка или ошибка в арифметических расчётах. Следовательно, ответственность лежит на органе кадастрового учёта.</w:t>
      </w:r>
    </w:p>
    <w:p w:rsidR="00000000" w:rsidRDefault="008A3C5B">
      <w:pPr>
        <w:pStyle w:val="aa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Style w:val="a7"/>
          <w:rFonts w:ascii="Segoe UI" w:hAnsi="Segoe UI" w:cs="Segoe UI"/>
          <w:color w:val="000000"/>
          <w:sz w:val="24"/>
          <w:szCs w:val="24"/>
        </w:rPr>
        <w:tab/>
        <w:t>Второй же тип возможных ошибок — кадастровая ошибка —</w:t>
      </w:r>
      <w:r>
        <w:rPr>
          <w:rStyle w:val="a7"/>
          <w:rFonts w:ascii="Segoe UI" w:hAnsi="Segoe UI" w:cs="Segoe UI"/>
          <w:color w:val="141823"/>
          <w:sz w:val="24"/>
          <w:szCs w:val="24"/>
        </w:rPr>
        <w:t xml:space="preserve"> </w:t>
      </w:r>
      <w:r>
        <w:rPr>
          <w:rStyle w:val="a7"/>
          <w:rFonts w:ascii="Segoe UI" w:hAnsi="Segoe UI" w:cs="Segoe UI"/>
          <w:b w:val="0"/>
          <w:bCs w:val="0"/>
          <w:color w:val="141823"/>
          <w:sz w:val="24"/>
          <w:szCs w:val="24"/>
        </w:rPr>
        <w:t>это неточность, перенесённая в государственный ка</w:t>
      </w:r>
      <w:r>
        <w:rPr>
          <w:rStyle w:val="a7"/>
          <w:rFonts w:ascii="Segoe UI" w:hAnsi="Segoe UI" w:cs="Segoe UI"/>
          <w:b w:val="0"/>
          <w:bCs w:val="0"/>
          <w:color w:val="141823"/>
          <w:sz w:val="24"/>
          <w:szCs w:val="24"/>
        </w:rPr>
        <w:t>дастр недвижимости из документа, на основании которого вносились сведения.</w:t>
      </w:r>
      <w:r>
        <w:rPr>
          <w:rStyle w:val="a7"/>
          <w:rFonts w:ascii="Segoe UI" w:hAnsi="Segoe UI" w:cs="Segoe UI"/>
          <w:color w:val="141823"/>
          <w:sz w:val="24"/>
          <w:szCs w:val="24"/>
        </w:rPr>
        <w:t xml:space="preserve"> </w:t>
      </w:r>
      <w:r>
        <w:rPr>
          <w:rStyle w:val="a7"/>
          <w:rFonts w:ascii="Segoe UI" w:hAnsi="Segoe UI" w:cs="Segoe UI"/>
          <w:b w:val="0"/>
          <w:color w:val="000000"/>
          <w:sz w:val="24"/>
          <w:szCs w:val="24"/>
        </w:rPr>
        <w:t xml:space="preserve">Получается, что </w:t>
      </w:r>
      <w:r>
        <w:rPr>
          <w:rStyle w:val="a6"/>
          <w:rFonts w:ascii="Segoe UI" w:hAnsi="Segoe UI" w:cs="Segoe UI"/>
          <w:i w:val="0"/>
          <w:color w:val="000000"/>
          <w:sz w:val="24"/>
          <w:szCs w:val="24"/>
        </w:rPr>
        <w:t>данные были неверными уже в самих документах-источниках. Такая ошибка не зависит от действий органа кадастрового учёта, ответственность за неё лежит на лице, подгото</w:t>
      </w:r>
      <w:r>
        <w:rPr>
          <w:rStyle w:val="a6"/>
          <w:rFonts w:ascii="Segoe UI" w:hAnsi="Segoe UI" w:cs="Segoe UI"/>
          <w:i w:val="0"/>
          <w:color w:val="000000"/>
          <w:sz w:val="24"/>
          <w:szCs w:val="24"/>
        </w:rPr>
        <w:t xml:space="preserve">вившем документы, и, следовательно, исправить её гораздо сложнее. 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000000" w:rsidRDefault="008A3C5B">
      <w:pPr>
        <w:pStyle w:val="aa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color w:val="000000"/>
          <w:sz w:val="24"/>
          <w:szCs w:val="24"/>
        </w:rPr>
        <w:t xml:space="preserve">Наиболее актуальная и распространённая сегодня кадастровая ошибка связана с неправильно определёнными координатами границ, углов поворота и других характерных точек земельного участка.  </w:t>
      </w:r>
    </w:p>
    <w:p w:rsidR="00000000" w:rsidRDefault="008A3C5B">
      <w:pPr>
        <w:pStyle w:val="aa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Кадастровая ошибка может быть выявлена исполнителем кадастровых работ или органом кадастрового учёта. В последнем случае учётный </w:t>
      </w:r>
      <w:r>
        <w:rPr>
          <w:rFonts w:ascii="Segoe UI" w:hAnsi="Segoe UI" w:cs="Segoe UI"/>
          <w:color w:val="000000"/>
          <w:sz w:val="24"/>
          <w:szCs w:val="24"/>
        </w:rPr>
        <w:t>орган принимает решение о необходимости устранения такой ошибки (решение содержит дату выявления ошибки, её описание с обоснов</w:t>
      </w:r>
      <w:r>
        <w:rPr>
          <w:rFonts w:ascii="Segoe UI" w:hAnsi="Segoe UI" w:cs="Segoe UI"/>
          <w:color w:val="000000"/>
          <w:sz w:val="24"/>
          <w:szCs w:val="24"/>
        </w:rPr>
        <w:t xml:space="preserve">анием квалификации соответствующих сведений как ошибочных и необходимость её исправления) и направляет его  всем заинтересованным лицам или в соответствующие органы для исправления ошибки в предусмотренном законом порядке. </w:t>
      </w:r>
    </w:p>
    <w:p w:rsidR="00000000" w:rsidRDefault="008A3C5B">
      <w:pPr>
        <w:pStyle w:val="aa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  <w:t>Поскольку ошибки могут доставит</w:t>
      </w:r>
      <w:r>
        <w:rPr>
          <w:rFonts w:ascii="Segoe UI" w:hAnsi="Segoe UI" w:cs="Segoe UI"/>
          <w:color w:val="000000"/>
          <w:sz w:val="24"/>
          <w:szCs w:val="24"/>
        </w:rPr>
        <w:t xml:space="preserve">ь собственнику немало хлопот, начиная с неверной суммы имущественного или земельного налога и заканчивая невозможностью </w:t>
      </w:r>
      <w:r>
        <w:rPr>
          <w:rFonts w:ascii="Segoe UI" w:hAnsi="Segoe UI" w:cs="Segoe UI"/>
          <w:color w:val="000000"/>
          <w:sz w:val="24"/>
          <w:szCs w:val="24"/>
        </w:rPr>
        <w:lastRenderedPageBreak/>
        <w:t>совершить какую-либо сделку с объектом недвижимости, в интересах владельца как можно скорее устранить выявленную ошибку.</w:t>
      </w:r>
    </w:p>
    <w:p w:rsidR="00000000" w:rsidRDefault="008A3C5B">
      <w:pPr>
        <w:pStyle w:val="aa"/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>Действующее за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>конодательство предусматривает три возможных варианта исправления кадастровой ошибки.</w:t>
      </w:r>
    </w:p>
    <w:p w:rsidR="00000000" w:rsidRDefault="008A3C5B">
      <w:pPr>
        <w:pStyle w:val="aa"/>
        <w:numPr>
          <w:ilvl w:val="0"/>
          <w:numId w:val="1"/>
        </w:numPr>
        <w:tabs>
          <w:tab w:val="left" w:pos="1016"/>
        </w:tabs>
        <w:spacing w:after="0" w:line="240" w:lineRule="auto"/>
        <w:ind w:left="0" w:firstLine="73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Внесудебный: </w:t>
      </w:r>
      <w:r>
        <w:rPr>
          <w:rFonts w:ascii="Segoe UI" w:hAnsi="Segoe UI" w:cs="Segoe UI"/>
          <w:color w:val="141823"/>
          <w:sz w:val="24"/>
          <w:szCs w:val="24"/>
        </w:rPr>
        <w:t>обратиться в орган кадастрового учёта с заявлением об учёте изменений земельного участка в связи с исправлением кадастровой ошибки</w:t>
      </w:r>
      <w:r>
        <w:rPr>
          <w:rFonts w:ascii="Segoe UI" w:hAnsi="Segoe UI" w:cs="Segoe UI"/>
          <w:color w:val="000000"/>
          <w:sz w:val="24"/>
          <w:szCs w:val="24"/>
        </w:rPr>
        <w:t xml:space="preserve"> и всеми необходимыми докум</w:t>
      </w:r>
      <w:r>
        <w:rPr>
          <w:rFonts w:ascii="Segoe UI" w:hAnsi="Segoe UI" w:cs="Segoe UI"/>
          <w:color w:val="000000"/>
          <w:sz w:val="24"/>
          <w:szCs w:val="24"/>
        </w:rPr>
        <w:t>ентами, содержащими в полном объёме сведения для исправления ошибки (например, новый межевой или технический план). Такой способ</w:t>
      </w:r>
      <w:r>
        <w:rPr>
          <w:rStyle w:val="a7"/>
          <w:rFonts w:ascii="Segoe UI" w:hAnsi="Segoe UI" w:cs="Segoe UI"/>
          <w:i/>
          <w:iCs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 xml:space="preserve">исправления возможен при отсутствии каких-либо споров и разногласий либо при урегулировании этих споров до суда. </w:t>
      </w:r>
    </w:p>
    <w:p w:rsidR="00000000" w:rsidRDefault="008A3C5B">
      <w:pPr>
        <w:pStyle w:val="aa"/>
        <w:numPr>
          <w:ilvl w:val="0"/>
          <w:numId w:val="1"/>
        </w:numPr>
        <w:tabs>
          <w:tab w:val="left" w:pos="1077"/>
        </w:tabs>
        <w:spacing w:after="0" w:line="240" w:lineRule="auto"/>
        <w:ind w:left="0" w:firstLine="737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Внесудебный: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если документы, которые содержат кадастровую ошибку и на основании которых сведения вносились в государственный кадастр недвижимости,  поступили в орган кадастрового учёта в порядке информационного взаимодействия с органами государственной власти или местн</w:t>
      </w:r>
      <w:r>
        <w:rPr>
          <w:rFonts w:ascii="Segoe UI" w:hAnsi="Segoe UI" w:cs="Segoe UI"/>
          <w:color w:val="000000"/>
          <w:sz w:val="24"/>
          <w:szCs w:val="24"/>
        </w:rPr>
        <w:t xml:space="preserve">ого самоуправления, то заявление об исправлении кадастровой ошибки должно быть подано </w:t>
      </w:r>
      <w:r>
        <w:rPr>
          <w:rStyle w:val="a6"/>
          <w:rFonts w:ascii="Segoe UI" w:hAnsi="Segoe UI" w:cs="Segoe UI"/>
          <w:i w:val="0"/>
          <w:color w:val="000000"/>
          <w:sz w:val="24"/>
          <w:szCs w:val="24"/>
        </w:rPr>
        <w:t>в таком же порядке.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gramEnd"/>
    </w:p>
    <w:p w:rsidR="00000000" w:rsidRDefault="008A3C5B">
      <w:pPr>
        <w:pStyle w:val="aa"/>
        <w:numPr>
          <w:ilvl w:val="0"/>
          <w:numId w:val="1"/>
        </w:numPr>
        <w:tabs>
          <w:tab w:val="left" w:pos="1077"/>
        </w:tabs>
        <w:spacing w:after="0" w:line="240" w:lineRule="auto"/>
        <w:ind w:left="0" w:firstLine="737"/>
        <w:jc w:val="both"/>
        <w:rPr>
          <w:rStyle w:val="a6"/>
          <w:rFonts w:ascii="Segoe UI" w:hAnsi="Segoe UI" w:cs="Segoe UI"/>
          <w:i w:val="0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000000"/>
          <w:sz w:val="24"/>
          <w:szCs w:val="24"/>
        </w:rPr>
        <w:t>Судебный</w:t>
      </w:r>
      <w:proofErr w:type="gramEnd"/>
      <w:r>
        <w:rPr>
          <w:rFonts w:ascii="Segoe UI" w:hAnsi="Segoe UI" w:cs="Segoe UI"/>
          <w:b/>
          <w:bCs/>
          <w:color w:val="000000"/>
          <w:sz w:val="24"/>
          <w:szCs w:val="24"/>
        </w:rPr>
        <w:t>:</w:t>
      </w:r>
      <w:r>
        <w:rPr>
          <w:rFonts w:ascii="Segoe UI" w:hAnsi="Segoe UI" w:cs="Segoe UI"/>
          <w:color w:val="000000"/>
          <w:sz w:val="24"/>
          <w:szCs w:val="24"/>
        </w:rPr>
        <w:t xml:space="preserve"> на основании вступившего в законную силу решения суда об исправлении кадастровой ошибки (вне зависимости от причин её возникновения). </w:t>
      </w:r>
      <w:r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</w:rPr>
        <w:t>Судеб</w:t>
      </w:r>
      <w:r>
        <w:rPr>
          <w:rStyle w:val="a7"/>
          <w:rFonts w:ascii="Segoe UI" w:hAnsi="Segoe UI" w:cs="Segoe UI"/>
          <w:b w:val="0"/>
          <w:bCs w:val="0"/>
          <w:color w:val="000000"/>
          <w:sz w:val="24"/>
          <w:szCs w:val="24"/>
        </w:rPr>
        <w:t xml:space="preserve">ный порядок </w:t>
      </w:r>
      <w:r>
        <w:rPr>
          <w:rFonts w:ascii="Segoe UI" w:hAnsi="Segoe UI" w:cs="Segoe UI"/>
          <w:color w:val="000000"/>
          <w:sz w:val="24"/>
          <w:szCs w:val="24"/>
        </w:rPr>
        <w:t xml:space="preserve">применяется, когда иным путём устранить разногласия не удалось. Заинтересованное лицо (собственник или его официальный представитель) оформляет и подает в суд (по месту нахождения объекта недвижимости) </w:t>
      </w:r>
      <w:r>
        <w:rPr>
          <w:rStyle w:val="a6"/>
          <w:rFonts w:ascii="Segoe UI" w:hAnsi="Segoe UI" w:cs="Segoe UI"/>
          <w:i w:val="0"/>
          <w:iCs w:val="0"/>
          <w:color w:val="000000"/>
          <w:sz w:val="24"/>
          <w:szCs w:val="24"/>
        </w:rPr>
        <w:t>исковое заявление с</w:t>
      </w:r>
      <w:r>
        <w:rPr>
          <w:rFonts w:ascii="Segoe UI" w:hAnsi="Segoe UI" w:cs="Segoe UI"/>
          <w:color w:val="000000"/>
          <w:sz w:val="24"/>
          <w:szCs w:val="24"/>
        </w:rPr>
        <w:t xml:space="preserve"> требованием внести в Г</w:t>
      </w:r>
      <w:r>
        <w:rPr>
          <w:rFonts w:ascii="Segoe UI" w:hAnsi="Segoe UI" w:cs="Segoe UI"/>
          <w:color w:val="000000"/>
          <w:sz w:val="24"/>
          <w:szCs w:val="24"/>
        </w:rPr>
        <w:t xml:space="preserve">КН необходимые изменения. </w:t>
      </w:r>
      <w:r>
        <w:rPr>
          <w:rStyle w:val="a6"/>
          <w:rFonts w:ascii="Segoe UI" w:hAnsi="Segoe UI" w:cs="Segoe UI"/>
          <w:i w:val="0"/>
          <w:color w:val="000000"/>
          <w:sz w:val="24"/>
          <w:szCs w:val="24"/>
        </w:rPr>
        <w:t>В качестве ответчиков привлекаются собственники или правообладатели объекта недвижимости, в сведениях о котором предполагается наличие кадастровой ошибки, а также кадастровые инженеры, выполнявшие соответствующие работы в отношени</w:t>
      </w:r>
      <w:r>
        <w:rPr>
          <w:rStyle w:val="a6"/>
          <w:rFonts w:ascii="Segoe UI" w:hAnsi="Segoe UI" w:cs="Segoe UI"/>
          <w:i w:val="0"/>
          <w:color w:val="000000"/>
          <w:sz w:val="24"/>
          <w:szCs w:val="24"/>
        </w:rPr>
        <w:t>и указанных объектов. Орган кадастрового учёта чаще всего привлекается в качестве третьего лица, но встречаются случаи, когда исковое заявление было подано относительно органа кадастрового учёта.</w:t>
      </w:r>
    </w:p>
    <w:p w:rsidR="00000000" w:rsidRDefault="008A3C5B">
      <w:pPr>
        <w:pStyle w:val="aa"/>
        <w:tabs>
          <w:tab w:val="left" w:pos="1077"/>
        </w:tabs>
        <w:spacing w:after="0" w:line="240" w:lineRule="auto"/>
        <w:ind w:firstLine="737"/>
        <w:jc w:val="both"/>
        <w:rPr>
          <w:rStyle w:val="a6"/>
          <w:rFonts w:ascii="Segoe UI" w:hAnsi="Segoe UI" w:cs="Segoe UI"/>
          <w:bCs/>
          <w:i w:val="0"/>
          <w:color w:val="000000"/>
          <w:sz w:val="24"/>
          <w:szCs w:val="24"/>
          <w:lang w:val="ru-RU"/>
        </w:rPr>
      </w:pPr>
      <w:r>
        <w:rPr>
          <w:rStyle w:val="a6"/>
          <w:rFonts w:ascii="Segoe UI" w:hAnsi="Segoe UI" w:cs="Segoe UI"/>
          <w:bCs/>
          <w:i w:val="0"/>
          <w:color w:val="000000"/>
          <w:sz w:val="24"/>
          <w:szCs w:val="24"/>
          <w:lang w:val="ru-RU"/>
        </w:rPr>
        <w:t>Главной задачей подобных судебных разбирательств является до</w:t>
      </w:r>
      <w:r>
        <w:rPr>
          <w:rStyle w:val="a6"/>
          <w:rFonts w:ascii="Segoe UI" w:hAnsi="Segoe UI" w:cs="Segoe UI"/>
          <w:bCs/>
          <w:i w:val="0"/>
          <w:color w:val="000000"/>
          <w:sz w:val="24"/>
          <w:szCs w:val="24"/>
          <w:lang w:val="ru-RU"/>
        </w:rPr>
        <w:t>казывание факта наличия кадастровой ошибки в сведениях государственного кадастра недвижимости, а также согласование сторонами способа её исправления. В итоге на руках у истца оказывается решение суда, которое необходимо исполнять. Однако важно понимать, чт</w:t>
      </w:r>
      <w:r>
        <w:rPr>
          <w:rStyle w:val="a6"/>
          <w:rFonts w:ascii="Segoe UI" w:hAnsi="Segoe UI" w:cs="Segoe UI"/>
          <w:bCs/>
          <w:i w:val="0"/>
          <w:color w:val="000000"/>
          <w:sz w:val="24"/>
          <w:szCs w:val="24"/>
          <w:lang w:val="ru-RU"/>
        </w:rPr>
        <w:t>о орган кадастрового учёта не сможет исключительно на основании данного решения поменять сведения, содержащиеся в кадастре, поскольку решение суда обязывает внести изменения способом, установленным действующим законодательством, то есть с представлением не</w:t>
      </w:r>
      <w:r>
        <w:rPr>
          <w:rStyle w:val="a6"/>
          <w:rFonts w:ascii="Segoe UI" w:hAnsi="Segoe UI" w:cs="Segoe UI"/>
          <w:bCs/>
          <w:i w:val="0"/>
          <w:color w:val="000000"/>
          <w:sz w:val="24"/>
          <w:szCs w:val="24"/>
          <w:lang w:val="ru-RU"/>
        </w:rPr>
        <w:t xml:space="preserve">обходимых документов — нового межевого или технического плана. </w:t>
      </w:r>
    </w:p>
    <w:p w:rsidR="00000000" w:rsidRDefault="008A3C5B">
      <w:pPr>
        <w:jc w:val="both"/>
        <w:rPr>
          <w:bCs/>
          <w:sz w:val="28"/>
          <w:szCs w:val="28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2.75pt;height:.3pt;z-index:1" o:connectortype="straight" strokecolor="#0070c0" strokeweight=".44mm">
            <v:stroke color2="#ff8f3f" joinstyle="miter"/>
          </v:shape>
        </w:pict>
      </w:r>
    </w:p>
    <w:p w:rsidR="00000000" w:rsidRDefault="008A3C5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 Кадастровой палате по Пермскому краю</w:t>
      </w:r>
    </w:p>
    <w:p w:rsidR="00000000" w:rsidRDefault="008A3C5B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 по Пермскому краю) осуществляет функции по ведению государственного кадастра недвижи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000000" w:rsidRDefault="008A3C5B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8A3C5B">
      <w:pPr>
        <w:spacing w:after="0" w:line="240" w:lineRule="auto"/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00000" w:rsidRDefault="008A3C5B">
      <w:pPr>
        <w:pStyle w:val="ae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8A3C5B">
      <w:pPr>
        <w:pStyle w:val="ae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8A3C5B">
      <w:pPr>
        <w:pStyle w:val="ae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lastRenderedPageBreak/>
        <w:t>по Пермскому краю</w:t>
      </w:r>
    </w:p>
    <w:p w:rsidR="00000000" w:rsidRDefault="008A3C5B">
      <w:pPr>
        <w:pStyle w:val="ae"/>
        <w:spacing w:after="0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>Тел.: + 7</w:t>
      </w:r>
      <w:r w:rsidRPr="00AD50BC">
        <w:rPr>
          <w:rFonts w:ascii="Segoe UI" w:eastAsia="Calibri" w:hAnsi="Segoe UI" w:cs="Segoe UI"/>
          <w:sz w:val="22"/>
          <w:szCs w:val="22"/>
        </w:rPr>
        <w:t xml:space="preserve"> </w:t>
      </w:r>
      <w:r>
        <w:rPr>
          <w:rFonts w:ascii="Segoe UI" w:eastAsia="Calibri" w:hAnsi="Segoe UI" w:cs="Segoe UI"/>
          <w:sz w:val="22"/>
          <w:szCs w:val="22"/>
        </w:rPr>
        <w:t>(342)</w:t>
      </w:r>
      <w:r w:rsidRPr="00AD50BC">
        <w:rPr>
          <w:rFonts w:ascii="Segoe UI" w:eastAsia="Calibri" w:hAnsi="Segoe UI" w:cs="Segoe UI"/>
          <w:sz w:val="22"/>
          <w:szCs w:val="22"/>
        </w:rPr>
        <w:t xml:space="preserve"> </w:t>
      </w:r>
      <w:r>
        <w:rPr>
          <w:rFonts w:ascii="Segoe UI" w:eastAsia="Calibri" w:hAnsi="Segoe UI" w:cs="Segoe UI"/>
          <w:sz w:val="22"/>
          <w:szCs w:val="22"/>
        </w:rPr>
        <w:t>281-82-42</w:t>
      </w:r>
    </w:p>
    <w:p w:rsidR="00000000" w:rsidRDefault="008A3C5B">
      <w:pPr>
        <w:pStyle w:val="ae"/>
        <w:spacing w:after="0"/>
      </w:pPr>
      <w:hyperlink r:id="rId6" w:history="1">
        <w:r>
          <w:rPr>
            <w:rStyle w:val="a5"/>
            <w:rFonts w:ascii="Segoe UI" w:eastAsia="Calibri" w:hAnsi="Segoe UI"/>
          </w:rPr>
          <w:t>press</w:t>
        </w:r>
        <w:r>
          <w:rPr>
            <w:rStyle w:val="a5"/>
            <w:rFonts w:ascii="Segoe UI" w:eastAsia="Calibri" w:hAnsi="Segoe UI"/>
          </w:rPr>
          <w:t>59@</w:t>
        </w:r>
        <w:r>
          <w:rPr>
            <w:rStyle w:val="a5"/>
            <w:rFonts w:ascii="Segoe UI" w:eastAsia="Calibri" w:hAnsi="Segoe UI"/>
          </w:rPr>
          <w:t>u</w:t>
        </w:r>
        <w:r>
          <w:rPr>
            <w:rStyle w:val="a5"/>
            <w:rFonts w:ascii="Segoe UI" w:eastAsia="Calibri" w:hAnsi="Segoe UI"/>
          </w:rPr>
          <w:t>59.</w:t>
        </w:r>
        <w:r>
          <w:rPr>
            <w:rStyle w:val="a5"/>
            <w:rFonts w:ascii="Segoe UI" w:eastAsia="Calibri" w:hAnsi="Segoe UI"/>
          </w:rPr>
          <w:t>rosreestr</w:t>
        </w:r>
        <w:r>
          <w:rPr>
            <w:rStyle w:val="a5"/>
            <w:rFonts w:ascii="Segoe UI" w:eastAsia="Calibri" w:hAnsi="Segoe UI"/>
          </w:rPr>
          <w:t>.</w:t>
        </w:r>
        <w:r>
          <w:rPr>
            <w:rStyle w:val="a5"/>
            <w:rFonts w:ascii="Segoe UI" w:eastAsia="Calibri" w:hAnsi="Segoe UI"/>
          </w:rPr>
          <w:t>ru</w:t>
        </w:r>
      </w:hyperlink>
    </w:p>
    <w:p w:rsidR="00000000" w:rsidRDefault="008A3C5B">
      <w:pPr>
        <w:pStyle w:val="ae"/>
        <w:spacing w:after="0"/>
        <w:rPr>
          <w:rFonts w:ascii="Segoe UI" w:eastAsia="Calibri" w:hAnsi="Segoe UI" w:cs="Segoe UI"/>
          <w:sz w:val="22"/>
          <w:szCs w:val="22"/>
        </w:rPr>
      </w:pPr>
      <w:hyperlink r:id="rId7" w:history="1">
        <w:r>
          <w:rPr>
            <w:rStyle w:val="a5"/>
            <w:rFonts w:ascii="Segoe UI" w:eastAsia="Calibri" w:hAnsi="Segoe UI"/>
          </w:rPr>
          <w:t>www.ka</w:t>
        </w:r>
        <w:r>
          <w:rPr>
            <w:rStyle w:val="a5"/>
            <w:rFonts w:ascii="Segoe UI" w:eastAsia="Calibri" w:hAnsi="Segoe UI"/>
          </w:rPr>
          <w:t>dastr.ru</w:t>
        </w:r>
      </w:hyperlink>
    </w:p>
    <w:p w:rsidR="00000000" w:rsidRDefault="008A3C5B">
      <w:pPr>
        <w:pStyle w:val="ae"/>
        <w:spacing w:after="0"/>
        <w:rPr>
          <w:rFonts w:ascii="Segoe UI" w:eastAsia="Calibri" w:hAnsi="Segoe UI" w:cs="Segoe UI"/>
          <w:sz w:val="22"/>
          <w:szCs w:val="22"/>
        </w:rPr>
      </w:pPr>
    </w:p>
    <w:p w:rsidR="00000000" w:rsidRDefault="008A3C5B">
      <w:pPr>
        <w:pStyle w:val="ae"/>
        <w:spacing w:after="0"/>
        <w:rPr>
          <w:rFonts w:ascii="Segoe UI" w:eastAsia="Calibri" w:hAnsi="Segoe UI" w:cs="Segoe UI"/>
          <w:sz w:val="28"/>
          <w:szCs w:val="28"/>
        </w:rPr>
      </w:pPr>
    </w:p>
    <w:p w:rsidR="00000000" w:rsidRDefault="008A3C5B">
      <w:pPr>
        <w:pStyle w:val="ae"/>
        <w:spacing w:after="0"/>
        <w:rPr>
          <w:rFonts w:ascii="Segoe UI" w:eastAsia="Calibri" w:hAnsi="Segoe UI" w:cs="Segoe UI"/>
          <w:sz w:val="28"/>
          <w:szCs w:val="28"/>
        </w:rPr>
      </w:pPr>
    </w:p>
    <w:p w:rsidR="008A3C5B" w:rsidRDefault="008A3C5B">
      <w:pPr>
        <w:spacing w:after="0" w:line="240" w:lineRule="auto"/>
        <w:jc w:val="center"/>
        <w:rPr>
          <w:rFonts w:ascii="Segoe UI" w:hAnsi="Segoe UI" w:cs="Segoe UI"/>
          <w:i/>
          <w:sz w:val="24"/>
          <w:szCs w:val="24"/>
        </w:rPr>
      </w:pPr>
    </w:p>
    <w:sectPr w:rsidR="008A3C5B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hAnsi="Segoe UI" w:cs="Segoe UI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egoe UI" w:hAnsi="Segoe UI" w:cs="Segoe UI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egoe UI" w:hAnsi="Segoe UI" w:cs="Segoe UI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egoe UI" w:hAnsi="Segoe UI" w:cs="Segoe UI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egoe UI" w:hAnsi="Segoe UI" w:cs="Segoe UI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egoe UI" w:hAnsi="Segoe UI" w:cs="Segoe UI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egoe UI" w:hAnsi="Segoe UI" w:cs="Segoe UI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egoe UI" w:hAnsi="Segoe UI" w:cs="Segoe UI"/>
        <w:b/>
        <w:bCs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0BC"/>
    <w:rsid w:val="008A3C5B"/>
    <w:rsid w:val="00AD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Emphasis"/>
    <w:qFormat/>
    <w:rPr>
      <w:i/>
      <w:iCs/>
    </w:rPr>
  </w:style>
  <w:style w:type="character" w:styleId="a7">
    <w:name w:val="Strong"/>
    <w:qFormat/>
    <w:rPr>
      <w:b/>
      <w:bCs/>
    </w:rPr>
  </w:style>
  <w:style w:type="character" w:customStyle="1" w:styleId="a8">
    <w:name w:val="Символ нумерации"/>
    <w:rPr>
      <w:rFonts w:ascii="Segoe UI" w:hAnsi="Segoe UI" w:cs="Segoe UI"/>
      <w:b/>
      <w:bCs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u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59@u59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4804</Characters>
  <Application>Microsoft Office Word</Application>
  <DocSecurity>0</DocSecurity>
  <Lines>40</Lines>
  <Paragraphs>11</Paragraphs>
  <ScaleCrop>false</ScaleCrop>
  <Company>Финуправление Суксун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1601-01-01T00:00:00Z</cp:lastPrinted>
  <dcterms:created xsi:type="dcterms:W3CDTF">2016-08-26T04:54:00Z</dcterms:created>
  <dcterms:modified xsi:type="dcterms:W3CDTF">2016-08-26T04:54:00Z</dcterms:modified>
</cp:coreProperties>
</file>