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113ED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4A317B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4A317B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4A317B">
      <w:pPr>
        <w:tabs>
          <w:tab w:val="left" w:pos="3819"/>
        </w:tabs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На основании чего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исчисляется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налог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на объекты</w:t>
      </w:r>
    </w:p>
    <w:p w:rsidR="00000000" w:rsidRDefault="004A317B">
      <w:pPr>
        <w:tabs>
          <w:tab w:val="left" w:pos="3819"/>
        </w:tabs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ru-RU"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недвижимости?</w:t>
      </w:r>
    </w:p>
    <w:p w:rsidR="00000000" w:rsidRDefault="004A317B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ru-RU" w:eastAsia="ru-RU"/>
        </w:rPr>
      </w:pPr>
    </w:p>
    <w:p w:rsidR="00000000" w:rsidRDefault="004A317B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 Кадастровую палату по Пермскому краю поступают многочисленные обращения  от жителей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Прикамья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с вопросом о том, на основе чего исчисляется налог на объекты 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питального строите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льства. </w:t>
      </w:r>
    </w:p>
    <w:p w:rsidR="00000000" w:rsidRDefault="004A317B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>В соответствии со ст. 402 Налогового кодекса РФ налоговая база в отношении объе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тов налогообложения определяется исходя из их кадастровой стоимости, за исключением случая, когда законодательным (представительным) органом государственной власти су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б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ъ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екта Российской Федерации не принято решение об установлении единой даты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налогообложения.</w:t>
      </w:r>
    </w:p>
    <w:p w:rsidR="00000000" w:rsidRDefault="004A317B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  <w:t>В настоящее время 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казанное решение на территории Пермского края не принято.</w:t>
      </w:r>
    </w:p>
    <w:p w:rsidR="00000000" w:rsidRDefault="004A317B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Таким образом,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 соответствии с Налоговым кодексом Российской Федерации на территории Пермского края налоговая база в отношении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каждого объекта налогооблож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ния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определяется как его инвентаризационн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ая стоимость, исчисленная на основании п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следних данных об инвентаризационной стоимости, представленных органами технич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ской инвентаризации в налоговые органы до 1 марта 2013 года, с учетом ежегодно уст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навливаемого коэффициента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-дефлятора.</w:t>
      </w:r>
    </w:p>
    <w:p w:rsidR="00000000" w:rsidRDefault="004A317B">
      <w:pPr>
        <w:pStyle w:val="DefaultText"/>
        <w:autoSpaceDE w:val="0"/>
        <w:spacing w:line="276" w:lineRule="auto"/>
        <w:ind w:firstLine="720"/>
        <w:jc w:val="both"/>
      </w:pPr>
      <w:r>
        <w:rPr>
          <w:rFonts w:ascii="Segoe UI" w:eastAsia="Times New Roman" w:hAnsi="Segoe UI" w:cs="Segoe UI"/>
          <w:color w:val="000000"/>
        </w:rPr>
        <w:t>Таким образом, д</w:t>
      </w:r>
      <w:r>
        <w:rPr>
          <w:rFonts w:ascii="Segoe UI" w:eastAsia="Times New Roman" w:hAnsi="Segoe UI" w:cs="Segoe UI"/>
          <w:color w:val="000000"/>
        </w:rPr>
        <w:t xml:space="preserve">ля получения информации об инвентаризационной стоимости и установленном в настоящее время коэффициенте, на основе </w:t>
      </w:r>
      <w:proofErr w:type="gramStart"/>
      <w:r>
        <w:rPr>
          <w:rFonts w:ascii="Segoe UI" w:eastAsia="Times New Roman" w:hAnsi="Segoe UI" w:cs="Segoe UI"/>
          <w:color w:val="000000"/>
        </w:rPr>
        <w:t>которых</w:t>
      </w:r>
      <w:proofErr w:type="gramEnd"/>
      <w:r>
        <w:rPr>
          <w:rFonts w:ascii="Segoe UI" w:eastAsia="Times New Roman" w:hAnsi="Segoe UI" w:cs="Segoe UI"/>
          <w:color w:val="000000"/>
        </w:rPr>
        <w:t xml:space="preserve"> исчисляется налог на </w:t>
      </w:r>
      <w:r>
        <w:rPr>
          <w:rFonts w:ascii="Segoe UI" w:eastAsia="Times New Roman" w:hAnsi="Segoe UI" w:cs="Segoe UI"/>
          <w:color w:val="000000"/>
        </w:rPr>
        <w:t xml:space="preserve">объекты капитального строительства </w:t>
      </w:r>
      <w:r>
        <w:rPr>
          <w:rFonts w:ascii="Segoe UI" w:eastAsia="Times New Roman" w:hAnsi="Segoe UI" w:cs="Segoe UI"/>
          <w:color w:val="000000"/>
        </w:rPr>
        <w:t xml:space="preserve">жителям </w:t>
      </w:r>
      <w:proofErr w:type="spellStart"/>
      <w:r>
        <w:rPr>
          <w:rFonts w:ascii="Segoe UI" w:eastAsia="Times New Roman" w:hAnsi="Segoe UI" w:cs="Segoe UI"/>
          <w:color w:val="000000"/>
        </w:rPr>
        <w:t>Прикамья</w:t>
      </w:r>
      <w:proofErr w:type="spellEnd"/>
      <w:r>
        <w:rPr>
          <w:rFonts w:ascii="Segoe UI" w:eastAsia="Times New Roman" w:hAnsi="Segoe UI" w:cs="Segoe UI"/>
          <w:color w:val="000000"/>
        </w:rPr>
        <w:t xml:space="preserve"> необходимо обращаться в Управление федеральной налоговой служ</w:t>
      </w:r>
      <w:r>
        <w:rPr>
          <w:rFonts w:ascii="Segoe UI" w:eastAsia="Times New Roman" w:hAnsi="Segoe UI" w:cs="Segoe UI"/>
          <w:color w:val="000000"/>
        </w:rPr>
        <w:t xml:space="preserve">бы по Пермскому краю, его территориальные подразделения </w:t>
      </w:r>
      <w:r>
        <w:rPr>
          <w:rFonts w:ascii="Segoe UI" w:hAnsi="Segoe UI"/>
          <w:color w:val="000000"/>
        </w:rPr>
        <w:t>или в органы, ранее осуществлявшие государственный технический учет Вашего объекта недвижимости.</w:t>
      </w:r>
      <w:r>
        <w:rPr>
          <w:rFonts w:ascii="Segoe UI" w:eastAsia="Times New Roman" w:hAnsi="Segoe UI" w:cs="Segoe UI"/>
          <w:color w:val="000000"/>
        </w:rPr>
        <w:t xml:space="preserve">  </w:t>
      </w:r>
    </w:p>
    <w:p w:rsidR="00000000" w:rsidRDefault="004A317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.75pt;margin-top:13.85pt;width:473.65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4A317B">
      <w:pPr>
        <w:autoSpaceDE w:val="0"/>
        <w:spacing w:after="0"/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eastAsia="Segoe UI" w:hAnsi="Segoe UI" w:cs="Segoe UI"/>
          <w:b/>
        </w:rPr>
        <w:tab/>
        <w:t xml:space="preserve"> </w:t>
      </w: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4A317B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я палата)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жимое имущество и сделок с ним (ЕГРП). </w:t>
      </w:r>
    </w:p>
    <w:p w:rsidR="00000000" w:rsidRDefault="004A317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4A317B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4A317B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4A317B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по Пермскому краю</w:t>
      </w:r>
    </w:p>
    <w:p w:rsidR="00000000" w:rsidRDefault="004A317B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4A317B">
      <w:pPr>
        <w:pStyle w:val="af0"/>
        <w:spacing w:after="0"/>
      </w:pPr>
      <w:hyperlink r:id="rId5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4A317B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6" w:history="1">
        <w:r>
          <w:rPr>
            <w:rStyle w:val="a5"/>
            <w:rFonts w:ascii="Segoe UI" w:eastAsia="Calibri" w:hAnsi="Segoe UI" w:cs="Segoe UI"/>
            <w:lang w:val="en-US" w:eastAsia="ru-RU"/>
          </w:rPr>
          <w:t>www</w:t>
        </w:r>
        <w:r w:rsidRPr="00F113ED">
          <w:rPr>
            <w:rStyle w:val="a5"/>
            <w:rFonts w:ascii="Segoe UI" w:eastAsia="Calibri" w:hAnsi="Segoe UI" w:cs="Segoe UI"/>
            <w:lang w:eastAsia="ru-RU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 w:eastAsia="ru-RU"/>
          </w:rPr>
          <w:t>kadastr</w:t>
        </w:r>
        <w:proofErr w:type="spellEnd"/>
        <w:r w:rsidRPr="00F113ED">
          <w:rPr>
            <w:rStyle w:val="a5"/>
            <w:rFonts w:ascii="Segoe UI" w:eastAsia="Calibri" w:hAnsi="Segoe UI" w:cs="Segoe UI"/>
            <w:lang w:eastAsia="ru-RU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 w:eastAsia="ru-RU"/>
          </w:rPr>
          <w:t>ru</w:t>
        </w:r>
        <w:proofErr w:type="spellEnd"/>
      </w:hyperlink>
    </w:p>
    <w:p w:rsidR="004A317B" w:rsidRDefault="004A317B">
      <w:pPr>
        <w:jc w:val="both"/>
        <w:rPr>
          <w:rFonts w:ascii="Segoe UI" w:hAnsi="Segoe UI" w:cs="Segoe UI"/>
          <w:b/>
          <w:lang w:val="ru-RU" w:eastAsia="ru-RU"/>
        </w:rPr>
      </w:pPr>
    </w:p>
    <w:sectPr w:rsidR="004A317B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ED"/>
    <w:rsid w:val="004A317B"/>
    <w:rsid w:val="00F1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af1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Финуправление Суксун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2016-10-24T09:01:00Z</dcterms:created>
  <dcterms:modified xsi:type="dcterms:W3CDTF">2016-10-24T09:01:00Z</dcterms:modified>
</cp:coreProperties>
</file>