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0165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4pt">
            <v:imagedata r:id="rId7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F43DD" w:rsidRDefault="008F43DD" w:rsidP="008F43DD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proofErr w:type="spellStart"/>
      <w:r>
        <w:rPr>
          <w:rFonts w:ascii="Segoe UI" w:hAnsi="Segoe UI" w:cs="Segoe UI"/>
          <w:b/>
          <w:sz w:val="32"/>
          <w:szCs w:val="32"/>
          <w:lang w:eastAsia="sk-SK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  <w:lang w:eastAsia="sk-SK"/>
        </w:rPr>
        <w:t xml:space="preserve"> сообщает о грядущих изменениях в </w:t>
      </w:r>
      <w:proofErr w:type="spellStart"/>
      <w:r>
        <w:rPr>
          <w:rFonts w:ascii="Segoe UI" w:hAnsi="Segoe UI" w:cs="Segoe UI"/>
          <w:b/>
          <w:sz w:val="32"/>
          <w:szCs w:val="32"/>
          <w:lang w:eastAsia="sk-SK"/>
        </w:rPr>
        <w:t>г</w:t>
      </w:r>
      <w:r w:rsidRPr="00001A44">
        <w:rPr>
          <w:rFonts w:ascii="Segoe UI" w:hAnsi="Segoe UI" w:cs="Segoe UI"/>
          <w:b/>
          <w:sz w:val="32"/>
          <w:szCs w:val="32"/>
          <w:lang w:eastAsia="sk-SK"/>
        </w:rPr>
        <w:t>осрегистрации</w:t>
      </w:r>
      <w:proofErr w:type="spellEnd"/>
      <w:r w:rsidRPr="00001A44">
        <w:rPr>
          <w:rFonts w:ascii="Segoe UI" w:hAnsi="Segoe UI" w:cs="Segoe UI"/>
          <w:b/>
          <w:sz w:val="32"/>
          <w:szCs w:val="32"/>
          <w:lang w:eastAsia="sk-SK"/>
        </w:rPr>
        <w:t xml:space="preserve"> договоров участия в </w:t>
      </w:r>
      <w:proofErr w:type="gramStart"/>
      <w:r w:rsidRPr="00001A44">
        <w:rPr>
          <w:rFonts w:ascii="Segoe UI" w:hAnsi="Segoe UI" w:cs="Segoe UI"/>
          <w:b/>
          <w:sz w:val="32"/>
          <w:szCs w:val="32"/>
          <w:lang w:eastAsia="sk-SK"/>
        </w:rPr>
        <w:t>долевом</w:t>
      </w:r>
      <w:proofErr w:type="gramEnd"/>
      <w:r w:rsidRPr="00001A44">
        <w:rPr>
          <w:rFonts w:ascii="Segoe UI" w:hAnsi="Segoe UI" w:cs="Segoe UI"/>
          <w:b/>
          <w:sz w:val="32"/>
          <w:szCs w:val="32"/>
          <w:lang w:eastAsia="sk-SK"/>
        </w:rPr>
        <w:t xml:space="preserve"> </w:t>
      </w:r>
      <w:proofErr w:type="gramStart"/>
      <w:r w:rsidRPr="00001A44">
        <w:rPr>
          <w:rFonts w:ascii="Segoe UI" w:hAnsi="Segoe UI" w:cs="Segoe UI"/>
          <w:b/>
          <w:sz w:val="32"/>
          <w:szCs w:val="32"/>
          <w:lang w:eastAsia="sk-SK"/>
        </w:rPr>
        <w:t>строительстве</w:t>
      </w:r>
      <w:proofErr w:type="gramEnd"/>
      <w:r w:rsidRPr="00001A44">
        <w:rPr>
          <w:rFonts w:ascii="Segoe UI" w:hAnsi="Segoe UI" w:cs="Segoe UI"/>
          <w:b/>
          <w:sz w:val="32"/>
          <w:szCs w:val="32"/>
          <w:lang w:eastAsia="sk-SK"/>
        </w:rPr>
        <w:t xml:space="preserve">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01A44">
        <w:rPr>
          <w:rFonts w:ascii="Segoe UI" w:hAnsi="Segoe UI" w:cs="Segoe UI"/>
          <w:b/>
          <w:sz w:val="28"/>
          <w:szCs w:val="28"/>
        </w:rPr>
        <w:t>Очередные меры, направленные на повышение защиты прав участников долевого строительства, предприняты законодателем и вводятся в действие поэтапно с 1 января и 1 июля 2017 года.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001A44">
        <w:rPr>
          <w:rFonts w:ascii="Segoe UI" w:hAnsi="Segoe UI" w:cs="Segoe UI"/>
          <w:sz w:val="28"/>
          <w:szCs w:val="28"/>
        </w:rPr>
        <w:t>Основные изменения касаются ужесточения требований, предъявляемых к застройщикам (в частности к размерам уставного капитала, к лицам, имеющим право осуществлять функции единоличного исполнительного органа и главного бухгалтера застройщика, к отсутствию задолженностей по налогам и сборам, превышающих установленный размер и др.), к информации, размещаемой застройщиком в целях привлечения денежных средств, к описанию объекта долевого строительства в договоре и расширения полномочий органа, осуществляющего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 контроль в сфере участия в </w:t>
      </w:r>
      <w:proofErr w:type="gramStart"/>
      <w:r w:rsidRPr="00001A44">
        <w:rPr>
          <w:rFonts w:ascii="Segoe UI" w:hAnsi="Segoe UI" w:cs="Segoe UI"/>
          <w:sz w:val="28"/>
          <w:szCs w:val="28"/>
        </w:rPr>
        <w:t>долевом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 строительства (на территории Пермского края указанным органом является Министерство строительства и жилищно-коммунального хозяйства Пермского края, далее – контролирующий орган, Министерство). Также предусмотрено создание и ведение единого реестра застройщиков, возможность заключения застройщиком договоров поручительства в случае, если застройщик не отвечает требованиям, предъявляемым к уставному капиталу.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lastRenderedPageBreak/>
        <w:t>Ужесточение указанных требований обоснованно повлекло за собой изменение порядка государственной регистрации договоров участия в долевом строительстве.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001A44">
        <w:rPr>
          <w:rFonts w:ascii="Segoe UI" w:hAnsi="Segoe UI" w:cs="Segoe UI"/>
          <w:sz w:val="28"/>
          <w:szCs w:val="28"/>
        </w:rPr>
        <w:t>Так, в дополнение к ранее представлявшимся на регистрацию первого договора участия в долевом строительстве разрешению на строительство, проектной декларации, плану создаваемого многоквартирного дома и документам, подтверждающим обеспечение застройщиком исполнение своих обязательств перед участниками долевого строительства, представляется заключение контролирующего органа о том, что и застройщик, и проектная декларация соответствуют установленным требованиям.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 В случае если застройщик не представит указанное заключение, оно будет запрошено государственным регистратором </w:t>
      </w:r>
      <w:r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</w:t>
      </w:r>
      <w:r w:rsidRPr="00001A44">
        <w:rPr>
          <w:rFonts w:ascii="Segoe UI" w:hAnsi="Segoe UI" w:cs="Segoe UI"/>
          <w:sz w:val="28"/>
          <w:szCs w:val="28"/>
        </w:rPr>
        <w:t xml:space="preserve">самостоятельно в Министерстве.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b/>
          <w:sz w:val="28"/>
          <w:szCs w:val="28"/>
        </w:rPr>
      </w:pPr>
      <w:proofErr w:type="gramStart"/>
      <w:r w:rsidRPr="00001A44">
        <w:rPr>
          <w:rFonts w:ascii="Segoe UI" w:hAnsi="Segoe UI" w:cs="Segoe UI"/>
          <w:b/>
          <w:sz w:val="28"/>
          <w:szCs w:val="28"/>
        </w:rPr>
        <w:t>В том случае, если застройщик утратит право на привлечение денежных средств граждан (например, в связи с ликвидацией или введением процедур банкротства в отношении застройщика, в связи с приостановлением деятельности застройщика на основании решения суда и т.д.), контролирующий орган обязан известить об этом орган регистрации прав, который в свою очередь обязан направить участникам долевого строительства соответствующее уведомление на указанный в</w:t>
      </w:r>
      <w:proofErr w:type="gramEnd"/>
      <w:r w:rsidRPr="00001A44">
        <w:rPr>
          <w:rFonts w:ascii="Segoe UI" w:hAnsi="Segoe UI" w:cs="Segoe UI"/>
          <w:b/>
          <w:sz w:val="28"/>
          <w:szCs w:val="28"/>
        </w:rPr>
        <w:t xml:space="preserve"> </w:t>
      </w:r>
      <w:proofErr w:type="gramStart"/>
      <w:r w:rsidRPr="00001A44">
        <w:rPr>
          <w:rFonts w:ascii="Segoe UI" w:hAnsi="Segoe UI" w:cs="Segoe UI"/>
          <w:b/>
          <w:sz w:val="28"/>
          <w:szCs w:val="28"/>
        </w:rPr>
        <w:t>договоре</w:t>
      </w:r>
      <w:proofErr w:type="gramEnd"/>
      <w:r w:rsidRPr="00001A44">
        <w:rPr>
          <w:rFonts w:ascii="Segoe UI" w:hAnsi="Segoe UI" w:cs="Segoe UI"/>
          <w:b/>
          <w:sz w:val="28"/>
          <w:szCs w:val="28"/>
        </w:rPr>
        <w:t xml:space="preserve"> участия в долевом строительстве адрес электронной почты, а при его отсутствии посредством почтового отправления.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t xml:space="preserve">Кроме того, указанная информация вносится в Единый государственный реестр недвижимости и отражается в выписке, содержащей общедоступные сведения Единого государственного реестра недвижимости о земельном участке, на котором ведется строительство.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t xml:space="preserve">Регистрация последующих договоров участия в долевом строительстве многоквартирного дома, заключенных с застройщиком, не отвечающим установленным требованиям, и утратившим право на </w:t>
      </w:r>
      <w:r w:rsidRPr="00001A44">
        <w:rPr>
          <w:rFonts w:ascii="Segoe UI" w:hAnsi="Segoe UI" w:cs="Segoe UI"/>
          <w:sz w:val="28"/>
          <w:szCs w:val="28"/>
        </w:rPr>
        <w:lastRenderedPageBreak/>
        <w:t>привлечение денежных сре</w:t>
      </w:r>
      <w:proofErr w:type="gramStart"/>
      <w:r w:rsidRPr="00001A44">
        <w:rPr>
          <w:rFonts w:ascii="Segoe UI" w:hAnsi="Segoe UI" w:cs="Segoe UI"/>
          <w:sz w:val="28"/>
          <w:szCs w:val="28"/>
        </w:rPr>
        <w:t>дств гр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аждан, невозможна в силу прямого указания закона.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t xml:space="preserve">Обо всех случаях отказа в государственной регистрации договоров участия в долевом строительстве, уступки права требования по указанному договору или права собственности на основании указанных договоров регистрирующий орган будет сообщать  Министерству.   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t xml:space="preserve">Другой новеллой законодательства является возможность </w:t>
      </w:r>
      <w:proofErr w:type="gramStart"/>
      <w:r w:rsidRPr="00001A44">
        <w:rPr>
          <w:rFonts w:ascii="Segoe UI" w:hAnsi="Segoe UI" w:cs="Segoe UI"/>
          <w:sz w:val="28"/>
          <w:szCs w:val="28"/>
        </w:rPr>
        <w:t>использования механизма банковского финансирования строительства многоквартирных домов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 и иных объектов недвижимости с открытием счетов </w:t>
      </w:r>
      <w:proofErr w:type="spellStart"/>
      <w:r w:rsidRPr="00001A44">
        <w:rPr>
          <w:rFonts w:ascii="Segoe UI" w:hAnsi="Segoe UI" w:cs="Segoe UI"/>
          <w:sz w:val="28"/>
          <w:szCs w:val="28"/>
        </w:rPr>
        <w:t>эскроу</w:t>
      </w:r>
      <w:proofErr w:type="spellEnd"/>
      <w:r w:rsidRPr="00001A44">
        <w:rPr>
          <w:rFonts w:ascii="Segoe UI" w:hAnsi="Segoe UI" w:cs="Segoe UI"/>
          <w:sz w:val="28"/>
          <w:szCs w:val="28"/>
        </w:rPr>
        <w:t xml:space="preserve"> для размещения средств участников долевого строительства таких объектов.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001A44">
        <w:rPr>
          <w:rFonts w:ascii="Segoe UI" w:hAnsi="Segoe UI" w:cs="Segoe UI"/>
          <w:sz w:val="28"/>
          <w:szCs w:val="28"/>
        </w:rPr>
        <w:t xml:space="preserve">Так,  в случае получения застройщиком целевого кредита на строительство многоквартирных домов в кредитной организации, имеющей право на открытие счетов </w:t>
      </w:r>
      <w:proofErr w:type="spellStart"/>
      <w:r w:rsidRPr="00001A44">
        <w:rPr>
          <w:rFonts w:ascii="Segoe UI" w:hAnsi="Segoe UI" w:cs="Segoe UI"/>
          <w:sz w:val="28"/>
          <w:szCs w:val="28"/>
        </w:rPr>
        <w:t>эскроу</w:t>
      </w:r>
      <w:proofErr w:type="spellEnd"/>
      <w:r w:rsidRPr="00001A44">
        <w:rPr>
          <w:rFonts w:ascii="Segoe UI" w:hAnsi="Segoe UI" w:cs="Segoe UI"/>
          <w:sz w:val="28"/>
          <w:szCs w:val="28"/>
        </w:rPr>
        <w:t xml:space="preserve"> для расчетов по договору участия в долевом строительстве,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обязанности участников долевого строительства внести денежные средства в счет уплаты цены договора на счета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001A44">
        <w:rPr>
          <w:rFonts w:ascii="Segoe UI" w:hAnsi="Segoe UI" w:cs="Segoe UI"/>
          <w:sz w:val="28"/>
          <w:szCs w:val="28"/>
        </w:rPr>
        <w:t>эскроу</w:t>
      </w:r>
      <w:proofErr w:type="spellEnd"/>
      <w:r w:rsidRPr="00001A44">
        <w:rPr>
          <w:rFonts w:ascii="Segoe UI" w:hAnsi="Segoe UI" w:cs="Segoe UI"/>
          <w:sz w:val="28"/>
          <w:szCs w:val="28"/>
        </w:rPr>
        <w:t xml:space="preserve">, </w:t>
      </w:r>
      <w:proofErr w:type="gramStart"/>
      <w:r w:rsidRPr="00001A44">
        <w:rPr>
          <w:rFonts w:ascii="Segoe UI" w:hAnsi="Segoe UI" w:cs="Segoe UI"/>
          <w:sz w:val="28"/>
          <w:szCs w:val="28"/>
        </w:rPr>
        <w:t>открытые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 в таком банке. В случае уступки участником долевого строительства, являющимся владельцем счета </w:t>
      </w:r>
      <w:proofErr w:type="spellStart"/>
      <w:r w:rsidRPr="00001A44">
        <w:rPr>
          <w:rFonts w:ascii="Segoe UI" w:hAnsi="Segoe UI" w:cs="Segoe UI"/>
          <w:sz w:val="28"/>
          <w:szCs w:val="28"/>
        </w:rPr>
        <w:t>эскроу</w:t>
      </w:r>
      <w:proofErr w:type="spellEnd"/>
      <w:r w:rsidRPr="00001A44">
        <w:rPr>
          <w:rFonts w:ascii="Segoe UI" w:hAnsi="Segoe UI" w:cs="Segoe UI"/>
          <w:sz w:val="28"/>
          <w:szCs w:val="28"/>
        </w:rPr>
        <w:t xml:space="preserve">, прав требований по договору участия в долевом строительстве к новому участнику долевого строительства к нему переходят также все права и обязанности по договору счета </w:t>
      </w:r>
      <w:proofErr w:type="spellStart"/>
      <w:r w:rsidRPr="00001A44">
        <w:rPr>
          <w:rFonts w:ascii="Segoe UI" w:hAnsi="Segoe UI" w:cs="Segoe UI"/>
          <w:sz w:val="28"/>
          <w:szCs w:val="28"/>
        </w:rPr>
        <w:t>эскроу</w:t>
      </w:r>
      <w:proofErr w:type="spellEnd"/>
      <w:r w:rsidRPr="00001A44">
        <w:rPr>
          <w:rFonts w:ascii="Segoe UI" w:hAnsi="Segoe UI" w:cs="Segoe UI"/>
          <w:sz w:val="28"/>
          <w:szCs w:val="28"/>
        </w:rPr>
        <w:t>, заключенному прежним участником долевого строительства.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t xml:space="preserve">Счет </w:t>
      </w:r>
      <w:proofErr w:type="spellStart"/>
      <w:r w:rsidRPr="00001A44">
        <w:rPr>
          <w:rFonts w:ascii="Segoe UI" w:hAnsi="Segoe UI" w:cs="Segoe UI"/>
          <w:sz w:val="28"/>
          <w:szCs w:val="28"/>
        </w:rPr>
        <w:t>эскроу</w:t>
      </w:r>
      <w:proofErr w:type="spellEnd"/>
      <w:r w:rsidRPr="00001A44">
        <w:rPr>
          <w:rFonts w:ascii="Segoe UI" w:hAnsi="Segoe UI" w:cs="Segoe UI"/>
          <w:sz w:val="28"/>
          <w:szCs w:val="28"/>
        </w:rPr>
        <w:t xml:space="preserve"> открывается банком для учета и блокирования денежных средств, полученных им от участника долевого строительства в счет уплаты цены договора участия в долевом строительстве. Передача банком указанных средств застройщику осуществляется после завершения строительства дома на основании передаточного акта, подписанного сторонами договора участия в долевом строительстве. </w:t>
      </w:r>
    </w:p>
    <w:p w:rsidR="008F43DD" w:rsidRPr="00001A44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lastRenderedPageBreak/>
        <w:t xml:space="preserve">Банки, имеющие право на открытие счетов </w:t>
      </w:r>
      <w:proofErr w:type="spellStart"/>
      <w:r w:rsidRPr="00001A44">
        <w:rPr>
          <w:rFonts w:ascii="Segoe UI" w:hAnsi="Segoe UI" w:cs="Segoe UI"/>
          <w:sz w:val="28"/>
          <w:szCs w:val="28"/>
        </w:rPr>
        <w:t>эскроу</w:t>
      </w:r>
      <w:proofErr w:type="spellEnd"/>
      <w:r w:rsidRPr="00001A44">
        <w:rPr>
          <w:rFonts w:ascii="Segoe UI" w:hAnsi="Segoe UI" w:cs="Segoe UI"/>
          <w:sz w:val="28"/>
          <w:szCs w:val="28"/>
        </w:rPr>
        <w:t xml:space="preserve"> по договору участия в долевом строительстве, должны отвечать требованиям, установленным Правительством РФ. Перечень указанных банков подлежит ежеквартальному размещению Центральным банком РФ на своем официальном сайте в сети Интернет. </w:t>
      </w:r>
    </w:p>
    <w:p w:rsidR="008F43DD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001A44">
        <w:rPr>
          <w:rFonts w:ascii="Segoe UI" w:hAnsi="Segoe UI" w:cs="Segoe UI"/>
          <w:sz w:val="28"/>
          <w:szCs w:val="28"/>
        </w:rPr>
        <w:t xml:space="preserve">Данный способ взаиморасчетов между участником долевого строительства и застройщиком через банк является еще одним способом </w:t>
      </w:r>
      <w:proofErr w:type="gramStart"/>
      <w:r w:rsidRPr="00001A44">
        <w:rPr>
          <w:rFonts w:ascii="Segoe UI" w:hAnsi="Segoe UI" w:cs="Segoe UI"/>
          <w:sz w:val="28"/>
          <w:szCs w:val="28"/>
        </w:rPr>
        <w:t>обеспечения защиты прав участников долевого строительства</w:t>
      </w:r>
      <w:proofErr w:type="gramEnd"/>
      <w:r w:rsidRPr="00001A44">
        <w:rPr>
          <w:rFonts w:ascii="Segoe UI" w:hAnsi="Segoe UI" w:cs="Segoe UI"/>
          <w:sz w:val="28"/>
          <w:szCs w:val="28"/>
        </w:rPr>
        <w:t xml:space="preserve">.   </w:t>
      </w:r>
    </w:p>
    <w:p w:rsidR="008F43DD" w:rsidRDefault="008F43DD" w:rsidP="008F43DD">
      <w:pPr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3B6DCE">
        <w:rPr>
          <w:rFonts w:ascii="Segoe UI" w:hAnsi="Segoe UI" w:cs="Segoe UI"/>
          <w:b/>
          <w:sz w:val="28"/>
          <w:szCs w:val="28"/>
        </w:rPr>
        <w:t>Статистика:</w:t>
      </w:r>
    </w:p>
    <w:p w:rsidR="008F43DD" w:rsidRPr="00E63347" w:rsidRDefault="008F43DD" w:rsidP="008F43D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E63347">
        <w:rPr>
          <w:rFonts w:ascii="Segoe UI" w:hAnsi="Segoe UI" w:cs="Segoe UI"/>
          <w:sz w:val="28"/>
          <w:szCs w:val="28"/>
        </w:rPr>
        <w:t xml:space="preserve">За 11 месяцев 2016 года Управлением </w:t>
      </w:r>
      <w:proofErr w:type="spellStart"/>
      <w:r w:rsidRPr="00E6334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63347">
        <w:rPr>
          <w:rFonts w:ascii="Segoe UI" w:hAnsi="Segoe UI" w:cs="Segoe UI"/>
          <w:sz w:val="28"/>
          <w:szCs w:val="28"/>
        </w:rPr>
        <w:t xml:space="preserve"> по Пермскому краю зарегистрировано 8795 договоров участия в долевом строительстве, что превышает показатели прошлого года на 21 процент. </w:t>
      </w:r>
    </w:p>
    <w:p w:rsidR="003B6DCE" w:rsidRPr="00001A44" w:rsidRDefault="003B6DCE" w:rsidP="00001A44">
      <w:pPr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5C4C19" w:rsidRDefault="005C4C19" w:rsidP="0064443A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955976" w:rsidRPr="005A0575" w:rsidRDefault="00955976" w:rsidP="00955976">
      <w:pPr>
        <w:pStyle w:val="a8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 w:rsidRPr="005A0575">
        <w:rPr>
          <w:rFonts w:ascii="Segoe UI" w:eastAsia="Calibri" w:hAnsi="Segoe UI" w:cs="Segoe UI"/>
          <w:sz w:val="22"/>
          <w:szCs w:val="22"/>
          <w:lang w:eastAsia="en-US"/>
        </w:rPr>
        <w:t>Об Управлении Росреестра по Пермскому краю</w:t>
      </w:r>
    </w:p>
    <w:p w:rsidR="00955976" w:rsidRDefault="00955976" w:rsidP="0095597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1506" w:rsidRDefault="00955976" w:rsidP="00A937AD">
      <w:pPr>
        <w:pStyle w:val="a8"/>
        <w:spacing w:after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Управление Федеральной службы государственной регистрации, кадастра и картографии (</w:t>
      </w:r>
      <w:proofErr w:type="spell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контроль за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деятельностью подведомственного учреждения Росреестра - филиала ФГБУ «Федеральная кадастровая палата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Аржевитина</w:t>
      </w:r>
      <w:proofErr w:type="spell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p w:rsidR="00955976" w:rsidRPr="00A51C40" w:rsidRDefault="00955976" w:rsidP="00955976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</w:pPr>
      <w:r w:rsidRPr="005A0575"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  <w:t xml:space="preserve">https://rosreestr.ru  </w:t>
      </w: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22"/>
          <w:szCs w:val="22"/>
          <w:lang w:eastAsia="en-US"/>
        </w:rPr>
      </w:pPr>
      <w:hyperlink r:id="rId8" w:history="1">
        <w:r w:rsidRPr="005A0575">
          <w:rPr>
            <w:rStyle w:val="a7"/>
            <w:rFonts w:ascii="Segoe UI" w:eastAsia="Calibri" w:hAnsi="Segoe UI" w:cs="Segoe UI"/>
            <w:b/>
            <w:sz w:val="22"/>
            <w:szCs w:val="22"/>
            <w:lang w:eastAsia="en-US"/>
          </w:rPr>
          <w:t>http://vk.com/public49884202</w:t>
        </w:r>
      </w:hyperlink>
    </w:p>
    <w:p w:rsidR="005A0575" w:rsidRPr="00A51C40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Default="005A0575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  <w:r w:rsidRPr="005A0575">
        <w:rPr>
          <w:rFonts w:ascii="Segoe UI" w:eastAsia="Calibri" w:hAnsi="Segoe UI" w:cs="Segoe UI"/>
          <w:b/>
          <w:lang w:eastAsia="en-US"/>
        </w:rPr>
        <w:t>Контакты для СМИ</w:t>
      </w:r>
    </w:p>
    <w:p w:rsidR="00495AFD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Управления Федеральной службы </w:t>
      </w: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t>государственной регистрации, кадастра и картографии (</w:t>
      </w:r>
      <w:proofErr w:type="spellStart"/>
      <w:r w:rsidRPr="00495AFD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Pr="00495AFD"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5AFD" w:rsidRPr="005A0575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Pr="005A0575" w:rsidRDefault="00001506" w:rsidP="00D87E73">
      <w:pPr>
        <w:pStyle w:val="a8"/>
        <w:spacing w:after="0"/>
      </w:pPr>
    </w:p>
    <w:sectPr w:rsidR="00001506" w:rsidRPr="005A0575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F1" w:rsidRDefault="00DC3BF1" w:rsidP="005B79EB">
      <w:pPr>
        <w:spacing w:after="0" w:line="240" w:lineRule="auto"/>
      </w:pPr>
      <w:r>
        <w:separator/>
      </w:r>
    </w:p>
  </w:endnote>
  <w:endnote w:type="continuationSeparator" w:id="0">
    <w:p w:rsidR="00DC3BF1" w:rsidRDefault="00DC3BF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F1" w:rsidRDefault="00DC3BF1" w:rsidP="005B79EB">
      <w:pPr>
        <w:spacing w:after="0" w:line="240" w:lineRule="auto"/>
      </w:pPr>
      <w:r>
        <w:separator/>
      </w:r>
    </w:p>
  </w:footnote>
  <w:footnote w:type="continuationSeparator" w:id="0">
    <w:p w:rsidR="00DC3BF1" w:rsidRDefault="00DC3BF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A44"/>
    <w:rsid w:val="00016558"/>
    <w:rsid w:val="00016E49"/>
    <w:rsid w:val="000249E6"/>
    <w:rsid w:val="000263A3"/>
    <w:rsid w:val="000642EA"/>
    <w:rsid w:val="000A0BE0"/>
    <w:rsid w:val="000A1186"/>
    <w:rsid w:val="000A2F23"/>
    <w:rsid w:val="000C5F72"/>
    <w:rsid w:val="000E7EFC"/>
    <w:rsid w:val="0011563B"/>
    <w:rsid w:val="001164AC"/>
    <w:rsid w:val="00126ACE"/>
    <w:rsid w:val="00190BA3"/>
    <w:rsid w:val="0019245E"/>
    <w:rsid w:val="001C08AE"/>
    <w:rsid w:val="001C490F"/>
    <w:rsid w:val="001D18D4"/>
    <w:rsid w:val="002242C0"/>
    <w:rsid w:val="00274888"/>
    <w:rsid w:val="0028288B"/>
    <w:rsid w:val="002D5FFF"/>
    <w:rsid w:val="00324C6E"/>
    <w:rsid w:val="003B16B3"/>
    <w:rsid w:val="003B6DCE"/>
    <w:rsid w:val="003B7CE6"/>
    <w:rsid w:val="003C4A5D"/>
    <w:rsid w:val="00464A99"/>
    <w:rsid w:val="00495AFD"/>
    <w:rsid w:val="00522342"/>
    <w:rsid w:val="00535FE0"/>
    <w:rsid w:val="00546D44"/>
    <w:rsid w:val="005527F9"/>
    <w:rsid w:val="00562D97"/>
    <w:rsid w:val="0058482F"/>
    <w:rsid w:val="005911E4"/>
    <w:rsid w:val="005A0575"/>
    <w:rsid w:val="005B79EB"/>
    <w:rsid w:val="005C4C19"/>
    <w:rsid w:val="005F1CF1"/>
    <w:rsid w:val="00622B0B"/>
    <w:rsid w:val="006250C8"/>
    <w:rsid w:val="00627099"/>
    <w:rsid w:val="00632ED6"/>
    <w:rsid w:val="0064443A"/>
    <w:rsid w:val="00681129"/>
    <w:rsid w:val="00681ACC"/>
    <w:rsid w:val="006D3B52"/>
    <w:rsid w:val="007169E2"/>
    <w:rsid w:val="00740F4F"/>
    <w:rsid w:val="00744895"/>
    <w:rsid w:val="007606B7"/>
    <w:rsid w:val="00795A7F"/>
    <w:rsid w:val="007A0B97"/>
    <w:rsid w:val="007A3314"/>
    <w:rsid w:val="0082417F"/>
    <w:rsid w:val="0083374E"/>
    <w:rsid w:val="008351BB"/>
    <w:rsid w:val="00875F6C"/>
    <w:rsid w:val="00894BEE"/>
    <w:rsid w:val="008C1203"/>
    <w:rsid w:val="008C2714"/>
    <w:rsid w:val="008E004F"/>
    <w:rsid w:val="008F43DD"/>
    <w:rsid w:val="00900DA8"/>
    <w:rsid w:val="0091713E"/>
    <w:rsid w:val="00955976"/>
    <w:rsid w:val="00957C64"/>
    <w:rsid w:val="00990E84"/>
    <w:rsid w:val="009A2930"/>
    <w:rsid w:val="009B4ECC"/>
    <w:rsid w:val="009E0BCB"/>
    <w:rsid w:val="00A51C40"/>
    <w:rsid w:val="00A937AD"/>
    <w:rsid w:val="00AC28E7"/>
    <w:rsid w:val="00AD43B1"/>
    <w:rsid w:val="00B21534"/>
    <w:rsid w:val="00B31B4D"/>
    <w:rsid w:val="00B511A6"/>
    <w:rsid w:val="00BD6FDF"/>
    <w:rsid w:val="00BF2E13"/>
    <w:rsid w:val="00C24D6A"/>
    <w:rsid w:val="00C36383"/>
    <w:rsid w:val="00C36BA6"/>
    <w:rsid w:val="00C5475D"/>
    <w:rsid w:val="00C802F8"/>
    <w:rsid w:val="00CC2026"/>
    <w:rsid w:val="00CD6E85"/>
    <w:rsid w:val="00CE01FF"/>
    <w:rsid w:val="00D00688"/>
    <w:rsid w:val="00D067D1"/>
    <w:rsid w:val="00D12FA3"/>
    <w:rsid w:val="00D2273B"/>
    <w:rsid w:val="00D60AAF"/>
    <w:rsid w:val="00D73BEF"/>
    <w:rsid w:val="00D87E73"/>
    <w:rsid w:val="00D96AC6"/>
    <w:rsid w:val="00DA48B2"/>
    <w:rsid w:val="00DB70E1"/>
    <w:rsid w:val="00DC3BF1"/>
    <w:rsid w:val="00DF4E05"/>
    <w:rsid w:val="00E008AF"/>
    <w:rsid w:val="00E03971"/>
    <w:rsid w:val="00E5434A"/>
    <w:rsid w:val="00E63347"/>
    <w:rsid w:val="00E654BA"/>
    <w:rsid w:val="00E70E3D"/>
    <w:rsid w:val="00E7588E"/>
    <w:rsid w:val="00E85622"/>
    <w:rsid w:val="00E948E0"/>
    <w:rsid w:val="00F84CD3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49884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6917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http://vk.com/public49884202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2016-12-19T05:41:00Z</dcterms:created>
  <dcterms:modified xsi:type="dcterms:W3CDTF">2016-12-19T05:41:00Z</dcterms:modified>
</cp:coreProperties>
</file>