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1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329F1" w:rsidRDefault="00E329F1" w:rsidP="00E329F1">
      <w:pPr>
        <w:spacing w:after="120" w:line="312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Пермском крае переоценили земли</w:t>
      </w:r>
      <w:r w:rsidRPr="00E329F1">
        <w:rPr>
          <w:rFonts w:ascii="Segoe UI" w:hAnsi="Segoe UI" w:cs="Segoe UI"/>
          <w:b/>
          <w:sz w:val="28"/>
          <w:szCs w:val="28"/>
        </w:rPr>
        <w:t xml:space="preserve"> водного фонда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329F1">
        <w:rPr>
          <w:rFonts w:ascii="Segoe UI" w:hAnsi="Segoe UI" w:cs="Segoe UI"/>
          <w:sz w:val="24"/>
          <w:szCs w:val="24"/>
        </w:rPr>
        <w:t>В 2015 году на территории Пермского края вступили в силу новые результаты государственной кадастровой оценки земель водного фонда. Новая кадастровая стоимость утверждена постановлением Правительства Пермского края от 22.10.2015 № 877-п «Об утверждении результатов определения кадастровой стоимости земельных участков в составе земель водного фонда Пермского края».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329F1">
        <w:rPr>
          <w:rFonts w:ascii="Segoe UI" w:hAnsi="Segoe UI" w:cs="Segoe UI"/>
          <w:sz w:val="24"/>
          <w:szCs w:val="24"/>
        </w:rPr>
        <w:t>Утвержденная кадастровая стоимость будет применяться для целей налогообложения, определения арендной платы и в иных случаях, предусмотренных законодательством, с 1 января 2016.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329F1">
        <w:rPr>
          <w:rFonts w:ascii="Segoe UI" w:hAnsi="Segoe UI" w:cs="Segoe UI"/>
          <w:sz w:val="24"/>
          <w:szCs w:val="24"/>
        </w:rPr>
        <w:t>Работы по государственной кадастровой оценке земель водного фонда были выполнены в соответствии с Методическими рекомендациями, утвержденными приказом Минэкономразвития России от 14 мая 2005г. № 99.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329F1">
        <w:rPr>
          <w:rFonts w:ascii="Segoe UI" w:hAnsi="Segoe UI" w:cs="Segoe UI"/>
          <w:sz w:val="24"/>
          <w:szCs w:val="24"/>
        </w:rPr>
        <w:t xml:space="preserve">В результате выполнения работ определена кадастровая стоимость 35 земельных участков, расположенных в 17 муниципальных районах (городских округах) Пермского края. Наибольшее количество земельных участков расположено в </w:t>
      </w:r>
      <w:proofErr w:type="spellStart"/>
      <w:r w:rsidRPr="00E329F1">
        <w:rPr>
          <w:rFonts w:ascii="Segoe UI" w:hAnsi="Segoe UI" w:cs="Segoe UI"/>
          <w:sz w:val="24"/>
          <w:szCs w:val="24"/>
        </w:rPr>
        <w:t>Большесосновском</w:t>
      </w:r>
      <w:proofErr w:type="spellEnd"/>
      <w:r w:rsidRPr="00E329F1">
        <w:rPr>
          <w:rFonts w:ascii="Segoe UI" w:hAnsi="Segoe UI" w:cs="Segoe UI"/>
          <w:sz w:val="24"/>
          <w:szCs w:val="24"/>
        </w:rPr>
        <w:t xml:space="preserve"> (5), Оханском (5), Березовском (4) и </w:t>
      </w:r>
      <w:proofErr w:type="spellStart"/>
      <w:r w:rsidRPr="00E329F1">
        <w:rPr>
          <w:rFonts w:ascii="Segoe UI" w:hAnsi="Segoe UI" w:cs="Segoe UI"/>
          <w:sz w:val="24"/>
          <w:szCs w:val="24"/>
        </w:rPr>
        <w:t>Юрлинском</w:t>
      </w:r>
      <w:proofErr w:type="spellEnd"/>
      <w:r w:rsidRPr="00E329F1">
        <w:rPr>
          <w:rFonts w:ascii="Segoe UI" w:hAnsi="Segoe UI" w:cs="Segoe UI"/>
          <w:sz w:val="24"/>
          <w:szCs w:val="24"/>
        </w:rPr>
        <w:t xml:space="preserve"> (3) муниципальных районах.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поясняет Светлана Овчинникова, начальник отдела кадастровой оценки недвижимости Управления Росреестра по Пермскому краю, в</w:t>
      </w:r>
      <w:r w:rsidRPr="00E329F1">
        <w:rPr>
          <w:rFonts w:ascii="Segoe UI" w:hAnsi="Segoe UI" w:cs="Segoe UI"/>
          <w:sz w:val="24"/>
          <w:szCs w:val="24"/>
        </w:rPr>
        <w:t xml:space="preserve"> соответствии с Методическими рекомендациями земельные участки в составе земель водного фонда объединяются в группы.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329F1">
        <w:rPr>
          <w:rFonts w:ascii="Segoe UI" w:hAnsi="Segoe UI" w:cs="Segoe UI"/>
          <w:sz w:val="24"/>
          <w:szCs w:val="24"/>
        </w:rPr>
        <w:t>По результатам оценочных работ 18 земельных участков отнесены к земельным участкам</w:t>
      </w:r>
      <w:bookmarkStart w:id="0" w:name="_GoBack"/>
      <w:bookmarkEnd w:id="0"/>
      <w:r w:rsidRPr="00E329F1">
        <w:rPr>
          <w:rFonts w:ascii="Segoe UI" w:hAnsi="Segoe UI" w:cs="Segoe UI"/>
          <w:sz w:val="24"/>
          <w:szCs w:val="24"/>
        </w:rPr>
        <w:t xml:space="preserve"> второй группы, которая включает в себя: земельные участки, занятые обособленными водными объектами, изъятыми из оборота или ограниченными в обороте в соответствии с законодательством Российской </w:t>
      </w:r>
      <w:r w:rsidRPr="00E329F1">
        <w:rPr>
          <w:rFonts w:ascii="Segoe UI" w:hAnsi="Segoe UI" w:cs="Segoe UI"/>
          <w:sz w:val="24"/>
          <w:szCs w:val="24"/>
        </w:rPr>
        <w:lastRenderedPageBreak/>
        <w:t>Федерации; сооружениями, предназначенными для защиты от наводнений и разрушений берегов водохранилищ, берегов и дна русел рек и др. Среднее значение по Пермскому краю по второй группе составляет 0,9367 руб./кв.м.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329F1">
        <w:rPr>
          <w:rFonts w:ascii="Segoe UI" w:hAnsi="Segoe UI" w:cs="Segoe UI"/>
          <w:sz w:val="24"/>
          <w:szCs w:val="24"/>
        </w:rPr>
        <w:t>8 земельных участков являются земельными участками первой группы, которая включает в себя: земельные участки, занятые обособленными водными объектами, находящимися в обороте в соответствии с законодательством Российской Федерации. Среднее значение по Пермскому краю по первой  группе составляет 27,46 руб./кв.м.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329F1">
        <w:rPr>
          <w:rFonts w:ascii="Segoe UI" w:hAnsi="Segoe UI" w:cs="Segoe UI"/>
          <w:sz w:val="24"/>
          <w:szCs w:val="24"/>
        </w:rPr>
        <w:t xml:space="preserve">9 земельных участков являются земельными участками третьей группы, которая включает в себя земельные участки в составе земель </w:t>
      </w:r>
      <w:proofErr w:type="spellStart"/>
      <w:r w:rsidRPr="00E329F1">
        <w:rPr>
          <w:rFonts w:ascii="Segoe UI" w:hAnsi="Segoe UI" w:cs="Segoe UI"/>
          <w:sz w:val="24"/>
          <w:szCs w:val="24"/>
        </w:rPr>
        <w:t>водоохранных</w:t>
      </w:r>
      <w:proofErr w:type="spellEnd"/>
      <w:r w:rsidRPr="00E329F1">
        <w:rPr>
          <w:rFonts w:ascii="Segoe UI" w:hAnsi="Segoe UI" w:cs="Segoe UI"/>
          <w:sz w:val="24"/>
          <w:szCs w:val="24"/>
        </w:rPr>
        <w:t xml:space="preserve"> зон водных объектов, а также земель, выделяемых для установления полос отвода и зон охраны водозаборов, гидротехнических сооружений и иных водохозяйственных сооружений и объектов, занятые объектами водоснабжения, объектами рыбного и охотничьего хозяйства, гидротехническими сооружениями, водозаборными, портовыми и иными водохозяйственными сооружениями и объектами.</w:t>
      </w:r>
      <w:proofErr w:type="gramEnd"/>
      <w:r w:rsidRPr="00E329F1">
        <w:rPr>
          <w:rFonts w:ascii="Segoe UI" w:hAnsi="Segoe UI" w:cs="Segoe UI"/>
          <w:sz w:val="24"/>
          <w:szCs w:val="24"/>
        </w:rPr>
        <w:t xml:space="preserve"> Среднее значение по Пермскому краю по третьей группе составляет 148,58 руб./кв.м.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329F1">
        <w:rPr>
          <w:rFonts w:ascii="Segoe UI" w:hAnsi="Segoe UI" w:cs="Segoe UI"/>
          <w:sz w:val="24"/>
          <w:szCs w:val="24"/>
        </w:rPr>
        <w:t>Познакомиться с расчетом кадастровой стоимости земельных участков водного фонда можно на официальном сайте Росреестра (</w:t>
      </w:r>
      <w:hyperlink r:id="rId9" w:history="1">
        <w:r w:rsidRPr="00E329F1">
          <w:rPr>
            <w:rStyle w:val="a7"/>
            <w:rFonts w:ascii="Segoe UI" w:hAnsi="Segoe UI" w:cs="Segoe UI"/>
            <w:sz w:val="24"/>
            <w:szCs w:val="24"/>
          </w:rPr>
          <w:t>www.rosreestr.ru</w:t>
        </w:r>
      </w:hyperlink>
      <w:r w:rsidRPr="00E329F1">
        <w:rPr>
          <w:rFonts w:ascii="Segoe UI" w:hAnsi="Segoe UI" w:cs="Segoe UI"/>
          <w:sz w:val="24"/>
          <w:szCs w:val="24"/>
        </w:rPr>
        <w:t xml:space="preserve">) в разделе «Деятельность»/«Кадастровая оценка»/«Фонд данных государственной кадастровой оценки» /«Фонд данных государственной кадастровой оценки»/«Отчеты об определении кадастровой стоимости». 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329F1">
        <w:rPr>
          <w:rFonts w:ascii="Segoe UI" w:hAnsi="Segoe UI" w:cs="Segoe UI"/>
          <w:sz w:val="24"/>
          <w:szCs w:val="24"/>
        </w:rPr>
        <w:t xml:space="preserve">Доступ к Фонду данных государственной кадастровой оценки является свободным для всех желающих. </w:t>
      </w:r>
    </w:p>
    <w:p w:rsidR="00E329F1" w:rsidRPr="00E329F1" w:rsidRDefault="00E329F1" w:rsidP="00E329F1">
      <w:pPr>
        <w:spacing w:after="120" w:line="312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329F1">
        <w:rPr>
          <w:rFonts w:ascii="Segoe UI" w:hAnsi="Segoe UI" w:cs="Segoe UI"/>
          <w:sz w:val="24"/>
          <w:szCs w:val="24"/>
        </w:rPr>
        <w:t xml:space="preserve">В случае несогласия с результатами государственной кадастровой оценки, а так же с кадастровой стоимостью земельных участков, рассчитанной на основании данных результатов, в соответствии с законодательством Российской Федерации об оценочной деятельности правообладатели земельных участков имеют право оспорить данную кадастровую </w:t>
      </w:r>
      <w:proofErr w:type="gramStart"/>
      <w:r w:rsidRPr="00E329F1">
        <w:rPr>
          <w:rFonts w:ascii="Segoe UI" w:hAnsi="Segoe UI" w:cs="Segoe UI"/>
          <w:sz w:val="24"/>
          <w:szCs w:val="24"/>
        </w:rPr>
        <w:t>стоимость</w:t>
      </w:r>
      <w:proofErr w:type="gramEnd"/>
      <w:r w:rsidRPr="00E329F1">
        <w:rPr>
          <w:rFonts w:ascii="Segoe UI" w:hAnsi="Segoe UI" w:cs="Segoe UI"/>
          <w:sz w:val="24"/>
          <w:szCs w:val="24"/>
        </w:rPr>
        <w:t xml:space="preserve"> как в судебном порядке, так и путем обращения в комиссию по рассмотрению споров о результатах определения кадастровой стоимости, созданной при Управлении Росреестра по Пермскому краю. При этом юридические лица могут оспорить кадастровую стоимость в судебном порядке только в случае отклонения заявления о пересмотре </w:t>
      </w:r>
      <w:r w:rsidRPr="00E329F1">
        <w:rPr>
          <w:rFonts w:ascii="Segoe UI" w:hAnsi="Segoe UI" w:cs="Segoe UI"/>
          <w:sz w:val="24"/>
          <w:szCs w:val="24"/>
        </w:rPr>
        <w:lastRenderedPageBreak/>
        <w:t>кадастровой стоимости Комиссией, для физических лиц предварительное обращение в Комиссию не является обязательным.</w:t>
      </w:r>
    </w:p>
    <w:p w:rsidR="005C4C19" w:rsidRDefault="005C4C19" w:rsidP="00296487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329F1" w:rsidRPr="00E329F1" w:rsidRDefault="00E329F1" w:rsidP="00BC721B">
      <w:pPr>
        <w:jc w:val="both"/>
        <w:rPr>
          <w:rFonts w:ascii="Segoe UI" w:hAnsi="Segoe UI" w:cs="Segoe UI"/>
          <w:b/>
          <w:color w:val="0070C0"/>
          <w:u w:val="single"/>
        </w:rPr>
      </w:pPr>
      <w:hyperlink r:id="rId10" w:history="1">
        <w:r w:rsidRPr="00E329F1">
          <w:rPr>
            <w:rFonts w:ascii="Segoe UI" w:hAnsi="Segoe UI" w:cs="Segoe UI"/>
            <w:b/>
            <w:noProof/>
            <w:color w:val="0070C0"/>
            <w:u w:val="single"/>
            <w:lang w:eastAsia="sk-SK"/>
          </w:rPr>
          <w:t xml:space="preserve"> http://</w:t>
        </w:r>
        <w:proofErr w:type="spellStart"/>
        <w:r w:rsidRPr="00E329F1">
          <w:rPr>
            <w:rFonts w:ascii="Segoe UI" w:hAnsi="Segoe UI" w:cs="Segoe UI"/>
            <w:b/>
            <w:color w:val="0070C0"/>
            <w:sz w:val="24"/>
            <w:szCs w:val="24"/>
            <w:u w:val="single"/>
          </w:rPr>
          <w:t>rosreestr.ru</w:t>
        </w:r>
        <w:proofErr w:type="spellEnd"/>
      </w:hyperlink>
      <w:r w:rsidRPr="00E329F1">
        <w:rPr>
          <w:rFonts w:ascii="Segoe UI" w:hAnsi="Segoe UI" w:cs="Segoe UI"/>
          <w:b/>
          <w:color w:val="0070C0"/>
          <w:u w:val="single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7330A9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E329F1" w:rsidRDefault="00E329F1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Ольга Гуляева </w:t>
      </w:r>
    </w:p>
    <w:p w:rsidR="00E329F1" w:rsidRDefault="00E329F1" w:rsidP="00E329F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7</w:t>
      </w:r>
    </w:p>
    <w:p w:rsidR="00E329F1" w:rsidRPr="00190BA3" w:rsidRDefault="00E329F1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44" w:rsidRDefault="00FB1244" w:rsidP="005B79EB">
      <w:pPr>
        <w:spacing w:after="0" w:line="240" w:lineRule="auto"/>
      </w:pPr>
      <w:r>
        <w:separator/>
      </w:r>
    </w:p>
  </w:endnote>
  <w:endnote w:type="continuationSeparator" w:id="0">
    <w:p w:rsidR="00FB1244" w:rsidRDefault="00FB124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44" w:rsidRDefault="00FB1244" w:rsidP="005B79EB">
      <w:pPr>
        <w:spacing w:after="0" w:line="240" w:lineRule="auto"/>
      </w:pPr>
      <w:r>
        <w:separator/>
      </w:r>
    </w:p>
  </w:footnote>
  <w:footnote w:type="continuationSeparator" w:id="0">
    <w:p w:rsidR="00FB1244" w:rsidRDefault="00FB124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42EA"/>
    <w:rsid w:val="00066DE5"/>
    <w:rsid w:val="00082938"/>
    <w:rsid w:val="000851C1"/>
    <w:rsid w:val="000A2F23"/>
    <w:rsid w:val="000B44AB"/>
    <w:rsid w:val="000C5F72"/>
    <w:rsid w:val="000E4269"/>
    <w:rsid w:val="00112FFD"/>
    <w:rsid w:val="0011563B"/>
    <w:rsid w:val="001164AC"/>
    <w:rsid w:val="00120DC5"/>
    <w:rsid w:val="00126ACE"/>
    <w:rsid w:val="00147ACA"/>
    <w:rsid w:val="00153F2F"/>
    <w:rsid w:val="00177470"/>
    <w:rsid w:val="00190BA3"/>
    <w:rsid w:val="0019245E"/>
    <w:rsid w:val="001C08AE"/>
    <w:rsid w:val="001C490F"/>
    <w:rsid w:val="002178E1"/>
    <w:rsid w:val="00253C23"/>
    <w:rsid w:val="00274888"/>
    <w:rsid w:val="0028288B"/>
    <w:rsid w:val="00290022"/>
    <w:rsid w:val="00296487"/>
    <w:rsid w:val="002B2541"/>
    <w:rsid w:val="00302F09"/>
    <w:rsid w:val="00303302"/>
    <w:rsid w:val="00324C6E"/>
    <w:rsid w:val="003B16B3"/>
    <w:rsid w:val="003B7CE6"/>
    <w:rsid w:val="003C4A5D"/>
    <w:rsid w:val="003F4CFB"/>
    <w:rsid w:val="00464A99"/>
    <w:rsid w:val="00465717"/>
    <w:rsid w:val="0047093D"/>
    <w:rsid w:val="004B6D58"/>
    <w:rsid w:val="005025A0"/>
    <w:rsid w:val="00522342"/>
    <w:rsid w:val="0052616E"/>
    <w:rsid w:val="00535FE0"/>
    <w:rsid w:val="00546D44"/>
    <w:rsid w:val="00562D97"/>
    <w:rsid w:val="00564F45"/>
    <w:rsid w:val="005911E4"/>
    <w:rsid w:val="00594774"/>
    <w:rsid w:val="005B79EB"/>
    <w:rsid w:val="005C4C19"/>
    <w:rsid w:val="005D02AD"/>
    <w:rsid w:val="005F3CF6"/>
    <w:rsid w:val="00622B0B"/>
    <w:rsid w:val="00623544"/>
    <w:rsid w:val="006250C8"/>
    <w:rsid w:val="00627099"/>
    <w:rsid w:val="006340E0"/>
    <w:rsid w:val="00642DE9"/>
    <w:rsid w:val="0066195E"/>
    <w:rsid w:val="00670CFA"/>
    <w:rsid w:val="006725ED"/>
    <w:rsid w:val="00681129"/>
    <w:rsid w:val="00681C83"/>
    <w:rsid w:val="006D3B52"/>
    <w:rsid w:val="006D423F"/>
    <w:rsid w:val="007040F2"/>
    <w:rsid w:val="00707F53"/>
    <w:rsid w:val="007330A9"/>
    <w:rsid w:val="00736FE3"/>
    <w:rsid w:val="00753DD2"/>
    <w:rsid w:val="007826E2"/>
    <w:rsid w:val="00787B94"/>
    <w:rsid w:val="00792B25"/>
    <w:rsid w:val="00795A7F"/>
    <w:rsid w:val="007960F0"/>
    <w:rsid w:val="007A0B97"/>
    <w:rsid w:val="007A3314"/>
    <w:rsid w:val="007B271D"/>
    <w:rsid w:val="0082417F"/>
    <w:rsid w:val="0083374E"/>
    <w:rsid w:val="008351BB"/>
    <w:rsid w:val="00851BC3"/>
    <w:rsid w:val="00873C2E"/>
    <w:rsid w:val="00875F6C"/>
    <w:rsid w:val="0088388E"/>
    <w:rsid w:val="008842AB"/>
    <w:rsid w:val="00894BEE"/>
    <w:rsid w:val="008D1A78"/>
    <w:rsid w:val="008E004F"/>
    <w:rsid w:val="008E21F8"/>
    <w:rsid w:val="00900DA8"/>
    <w:rsid w:val="0091713E"/>
    <w:rsid w:val="009474E4"/>
    <w:rsid w:val="00957C64"/>
    <w:rsid w:val="0097092C"/>
    <w:rsid w:val="00990E84"/>
    <w:rsid w:val="009A2930"/>
    <w:rsid w:val="009B4ECC"/>
    <w:rsid w:val="009F1C24"/>
    <w:rsid w:val="00A364C1"/>
    <w:rsid w:val="00AC28E7"/>
    <w:rsid w:val="00B14D9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F2E13"/>
    <w:rsid w:val="00C24D6A"/>
    <w:rsid w:val="00C5475D"/>
    <w:rsid w:val="00C66B97"/>
    <w:rsid w:val="00C74E88"/>
    <w:rsid w:val="00CD4A8E"/>
    <w:rsid w:val="00CD6E85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DB2E9D"/>
    <w:rsid w:val="00E03971"/>
    <w:rsid w:val="00E329F1"/>
    <w:rsid w:val="00E35C51"/>
    <w:rsid w:val="00E70E3D"/>
    <w:rsid w:val="00E7588E"/>
    <w:rsid w:val="00E83ADB"/>
    <w:rsid w:val="00E84453"/>
    <w:rsid w:val="00E85622"/>
    <w:rsid w:val="00E91C2B"/>
    <w:rsid w:val="00E948E0"/>
    <w:rsid w:val="00EB6CEB"/>
    <w:rsid w:val="00ED4CAE"/>
    <w:rsid w:val="00ED5626"/>
    <w:rsid w:val="00EE2039"/>
    <w:rsid w:val="00F03D51"/>
    <w:rsid w:val="00F41247"/>
    <w:rsid w:val="00F46136"/>
    <w:rsid w:val="00F61E30"/>
    <w:rsid w:val="00F8646C"/>
    <w:rsid w:val="00FB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rosreestr5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ACA9-9F47-4F45-B1F1-9656414D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5365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2016-02-18T03:34:00Z</dcterms:created>
  <dcterms:modified xsi:type="dcterms:W3CDTF">2016-02-18T03:34:00Z</dcterms:modified>
</cp:coreProperties>
</file>