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6E3629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C7F5D" w:rsidRDefault="008C7F5D" w:rsidP="008C7F5D">
      <w:pPr>
        <w:spacing w:after="0" w:line="312" w:lineRule="auto"/>
        <w:ind w:firstLine="709"/>
        <w:jc w:val="both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Выписка как легитимный документ, удостоверяющий права</w:t>
      </w:r>
    </w:p>
    <w:p w:rsidR="008C7F5D" w:rsidRDefault="008C7F5D" w:rsidP="008C7F5D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</w:p>
    <w:p w:rsidR="008C7F5D" w:rsidRDefault="008C7F5D" w:rsidP="008C7F5D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Федеральным законом от 03.07.2016 № 360-ФЗ "О внесении изменений в отдельные законодательные акты Российской Федерации" внесены изменения, в том числе в статью 14 Федерального закона от 21.07.1997 № 122-ФЗ «О государственной регистрации прав на недвижимое имущ</w:t>
      </w:r>
      <w:bookmarkStart w:id="0" w:name="_GoBack"/>
      <w:bookmarkEnd w:id="0"/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ество и сделок с ним» (далее - Закон о регистрации). С 15.07.2016 прекращена выдача свидетельств о государственной регистрации прав на недвижимое имущество и сделок с ним. Проведенная государственная регистрация возникновения и перехода прав на недвижимое имущество будет удостоверяться выпиской из ЕГРП. </w:t>
      </w:r>
    </w:p>
    <w:p w:rsidR="008C7F5D" w:rsidRDefault="008C7F5D" w:rsidP="008C7F5D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 Выписка из ЕГРП на объект недвижимого имущества и выписка из ЕГРП о переходе прав на объект недвижимого имущества предоставляются по запросу любого лица (ст. 7 Закона о регистрации). </w:t>
      </w:r>
    </w:p>
    <w:p w:rsidR="008C7F5D" w:rsidRDefault="008C7F5D" w:rsidP="008C7F5D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Обратиться с запросом о выдаче выписки можно лично в любой офис филиала ФГБУ «ФКП Росреестра» по Пермскому краю и КГАУ «Пермский краевой многофункциональный центр предоставления государственных и муниципальных услуг» независимо от места нахождения объекта недвижимости или адреса места жительства (места нахождения) правообладателя, в отношении которых представляется такой запрос.</w:t>
      </w:r>
    </w:p>
    <w:p w:rsidR="008C7F5D" w:rsidRDefault="008C7F5D" w:rsidP="008C7F5D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Для удобства и экономии времени можно направить запрос о предоставлении сведений из ЕГРП в электронном виде через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официальный сайт Росреестра (</w:t>
      </w:r>
      <w:hyperlink r:id="rId10" w:history="1">
        <w:r>
          <w:rPr>
            <w:rStyle w:val="a7"/>
            <w:rFonts w:ascii="Segoe UI" w:eastAsia="Times New Roman" w:hAnsi="Segoe UI" w:cs="Segoe UI"/>
            <w:sz w:val="28"/>
            <w:szCs w:val="28"/>
            <w:lang w:eastAsia="ru-RU"/>
          </w:rPr>
          <w:t>https://rosreestr.ru</w:t>
        </w:r>
      </w:hyperlink>
      <w:r>
        <w:rPr>
          <w:rFonts w:ascii="Segoe UI" w:eastAsia="Times New Roman" w:hAnsi="Segoe UI" w:cs="Segoe UI"/>
          <w:sz w:val="28"/>
          <w:szCs w:val="28"/>
          <w:lang w:eastAsia="ru-RU"/>
        </w:rPr>
        <w:t>), заполнив необходимую форму в разделе «Электронные услуги и сервисы» - «Получение сведений из ЕГРП». Запрос, направленный заявителем в электронном виде, рассматривается в течение 1 рабочего дня с момента поступления.</w:t>
      </w:r>
    </w:p>
    <w:p w:rsidR="008C7F5D" w:rsidRDefault="008C7F5D" w:rsidP="008C7F5D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Выписка выдается бесплатно только правообладателю. Стоимость каждой выписки для остальных физических лиц составляет 200 рублей в бумажном виде и 150 рублей в виде электронного документа, для юридических лиц - 600 и 300 рублей соответственно.</w:t>
      </w:r>
    </w:p>
    <w:p w:rsidR="008C7F5D" w:rsidRDefault="008C7F5D" w:rsidP="008C7F5D">
      <w:pPr>
        <w:spacing w:after="0" w:line="312" w:lineRule="auto"/>
        <w:ind w:firstLine="709"/>
        <w:jc w:val="both"/>
        <w:rPr>
          <w:rFonts w:ascii="Segoe UI" w:eastAsia="Times New Roman" w:hAnsi="Segoe UI" w:cs="Segoe UI"/>
          <w:i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i/>
          <w:sz w:val="28"/>
          <w:szCs w:val="28"/>
          <w:lang w:eastAsia="ru-RU"/>
        </w:rPr>
        <w:t>Важно.</w:t>
      </w:r>
      <w:r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 Сведения, содержащиеся в выписке из ЕГРП, независимо от способа предоставления, являются актуальными (действительными) на дату получения запроса.</w:t>
      </w:r>
    </w:p>
    <w:p w:rsidR="008C7F5D" w:rsidRDefault="008C7F5D" w:rsidP="008C7F5D">
      <w:pPr>
        <w:spacing w:after="0" w:line="312" w:lineRule="auto"/>
        <w:ind w:firstLine="709"/>
        <w:jc w:val="both"/>
        <w:rPr>
          <w:rFonts w:ascii="Segoe UI" w:eastAsia="Times New Roman" w:hAnsi="Segoe UI" w:cs="Segoe UI"/>
          <w:i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i/>
          <w:sz w:val="28"/>
          <w:szCs w:val="28"/>
          <w:lang w:eastAsia="ru-RU"/>
        </w:rPr>
        <w:t>Для справки.</w:t>
      </w:r>
      <w:r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 На официальном сайте Росреестра на безвозмездной основе любому лицу можно узнать сведения из ЕГРП в виде справочной информации. Сервис «Справочная информация по объектам недвижимости в режиме online» размещен на главной странице сайта в разделе «Электронные услуги и сервисы». </w:t>
      </w:r>
    </w:p>
    <w:p w:rsidR="008C7F5D" w:rsidRDefault="008C7F5D" w:rsidP="008C7F5D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746F4C" w:rsidRDefault="006E3629" w:rsidP="00190848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190848" w:rsidRPr="005102F0" w:rsidRDefault="00190848" w:rsidP="00190848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1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Pr="00190BA3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lastRenderedPageBreak/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3B" w:rsidRDefault="00A4583B" w:rsidP="005B79EB">
      <w:pPr>
        <w:spacing w:after="0" w:line="240" w:lineRule="auto"/>
      </w:pPr>
      <w:r>
        <w:separator/>
      </w:r>
    </w:p>
  </w:endnote>
  <w:endnote w:type="continuationSeparator" w:id="0">
    <w:p w:rsidR="00A4583B" w:rsidRDefault="00A4583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3B" w:rsidRDefault="00A4583B" w:rsidP="005B79EB">
      <w:pPr>
        <w:spacing w:after="0" w:line="240" w:lineRule="auto"/>
      </w:pPr>
      <w:r>
        <w:separator/>
      </w:r>
    </w:p>
  </w:footnote>
  <w:footnote w:type="continuationSeparator" w:id="0">
    <w:p w:rsidR="00A4583B" w:rsidRDefault="00A4583B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6E49"/>
    <w:rsid w:val="00021AE8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43AA1"/>
    <w:rsid w:val="00046B7C"/>
    <w:rsid w:val="00047451"/>
    <w:rsid w:val="00060188"/>
    <w:rsid w:val="00060A71"/>
    <w:rsid w:val="000642EA"/>
    <w:rsid w:val="00066DE5"/>
    <w:rsid w:val="000761D7"/>
    <w:rsid w:val="00082938"/>
    <w:rsid w:val="000851C1"/>
    <w:rsid w:val="000A019B"/>
    <w:rsid w:val="000A0AEE"/>
    <w:rsid w:val="000A2F23"/>
    <w:rsid w:val="000B44AB"/>
    <w:rsid w:val="000B5BD0"/>
    <w:rsid w:val="000C5F72"/>
    <w:rsid w:val="000E4269"/>
    <w:rsid w:val="000F1503"/>
    <w:rsid w:val="000F217B"/>
    <w:rsid w:val="000F3EEC"/>
    <w:rsid w:val="00104B15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A2D39"/>
    <w:rsid w:val="001C08AE"/>
    <w:rsid w:val="001C490F"/>
    <w:rsid w:val="001C792A"/>
    <w:rsid w:val="001D4151"/>
    <w:rsid w:val="001D5737"/>
    <w:rsid w:val="001E0D13"/>
    <w:rsid w:val="00207513"/>
    <w:rsid w:val="00216F4B"/>
    <w:rsid w:val="002178E1"/>
    <w:rsid w:val="002402B6"/>
    <w:rsid w:val="002520D4"/>
    <w:rsid w:val="00253C23"/>
    <w:rsid w:val="00263742"/>
    <w:rsid w:val="00266D76"/>
    <w:rsid w:val="00272261"/>
    <w:rsid w:val="0027286B"/>
    <w:rsid w:val="00274888"/>
    <w:rsid w:val="0028288B"/>
    <w:rsid w:val="00290022"/>
    <w:rsid w:val="00292D38"/>
    <w:rsid w:val="00296487"/>
    <w:rsid w:val="002B15C4"/>
    <w:rsid w:val="002B2541"/>
    <w:rsid w:val="002C03AD"/>
    <w:rsid w:val="002C5489"/>
    <w:rsid w:val="002F1EE0"/>
    <w:rsid w:val="002F23A8"/>
    <w:rsid w:val="00302F09"/>
    <w:rsid w:val="00303302"/>
    <w:rsid w:val="00324C6E"/>
    <w:rsid w:val="00326880"/>
    <w:rsid w:val="0035182C"/>
    <w:rsid w:val="00361FED"/>
    <w:rsid w:val="003671BD"/>
    <w:rsid w:val="0037121D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F13E5"/>
    <w:rsid w:val="003F4CFB"/>
    <w:rsid w:val="00457607"/>
    <w:rsid w:val="004613D3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816"/>
    <w:rsid w:val="004B5175"/>
    <w:rsid w:val="004B6D58"/>
    <w:rsid w:val="004C222F"/>
    <w:rsid w:val="004C43D7"/>
    <w:rsid w:val="004D121F"/>
    <w:rsid w:val="004E0C81"/>
    <w:rsid w:val="004F5C35"/>
    <w:rsid w:val="005025A0"/>
    <w:rsid w:val="005216E0"/>
    <w:rsid w:val="00522342"/>
    <w:rsid w:val="0052616E"/>
    <w:rsid w:val="00535FE0"/>
    <w:rsid w:val="00546D44"/>
    <w:rsid w:val="005515DC"/>
    <w:rsid w:val="0055374B"/>
    <w:rsid w:val="00561BEA"/>
    <w:rsid w:val="00561D6A"/>
    <w:rsid w:val="00562D97"/>
    <w:rsid w:val="005631EC"/>
    <w:rsid w:val="00564F45"/>
    <w:rsid w:val="00567FFD"/>
    <w:rsid w:val="005806D2"/>
    <w:rsid w:val="00582C22"/>
    <w:rsid w:val="00584D95"/>
    <w:rsid w:val="00586135"/>
    <w:rsid w:val="005911E4"/>
    <w:rsid w:val="00594774"/>
    <w:rsid w:val="005B79EB"/>
    <w:rsid w:val="005C4C19"/>
    <w:rsid w:val="005D023A"/>
    <w:rsid w:val="005D02AD"/>
    <w:rsid w:val="005D3064"/>
    <w:rsid w:val="005D35AC"/>
    <w:rsid w:val="005F3633"/>
    <w:rsid w:val="005F3CF6"/>
    <w:rsid w:val="005F693F"/>
    <w:rsid w:val="006038D1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46215"/>
    <w:rsid w:val="0065653F"/>
    <w:rsid w:val="0066195E"/>
    <w:rsid w:val="00670CFA"/>
    <w:rsid w:val="006725ED"/>
    <w:rsid w:val="00681129"/>
    <w:rsid w:val="00681C83"/>
    <w:rsid w:val="00692000"/>
    <w:rsid w:val="00692AEB"/>
    <w:rsid w:val="0069791C"/>
    <w:rsid w:val="006A6095"/>
    <w:rsid w:val="006A6F49"/>
    <w:rsid w:val="006C0989"/>
    <w:rsid w:val="006C0CE3"/>
    <w:rsid w:val="006D1BFD"/>
    <w:rsid w:val="006D3B0C"/>
    <w:rsid w:val="006D3B52"/>
    <w:rsid w:val="006D423F"/>
    <w:rsid w:val="006E3629"/>
    <w:rsid w:val="007040F2"/>
    <w:rsid w:val="007045A0"/>
    <w:rsid w:val="00707F53"/>
    <w:rsid w:val="00717A98"/>
    <w:rsid w:val="00717D38"/>
    <w:rsid w:val="007259FC"/>
    <w:rsid w:val="007330A9"/>
    <w:rsid w:val="00736FE3"/>
    <w:rsid w:val="0074131F"/>
    <w:rsid w:val="00743F6B"/>
    <w:rsid w:val="00744D6B"/>
    <w:rsid w:val="00746F4C"/>
    <w:rsid w:val="007506FC"/>
    <w:rsid w:val="00753DD2"/>
    <w:rsid w:val="007548CC"/>
    <w:rsid w:val="007614EB"/>
    <w:rsid w:val="00773074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478"/>
    <w:rsid w:val="007B271D"/>
    <w:rsid w:val="007B5F4D"/>
    <w:rsid w:val="007C447D"/>
    <w:rsid w:val="007C6DB9"/>
    <w:rsid w:val="007C7262"/>
    <w:rsid w:val="007C7DEF"/>
    <w:rsid w:val="007D615E"/>
    <w:rsid w:val="007E0628"/>
    <w:rsid w:val="007F6354"/>
    <w:rsid w:val="0082417F"/>
    <w:rsid w:val="008243F3"/>
    <w:rsid w:val="008259ED"/>
    <w:rsid w:val="0083374E"/>
    <w:rsid w:val="008351BB"/>
    <w:rsid w:val="00841542"/>
    <w:rsid w:val="008447ED"/>
    <w:rsid w:val="00851BC3"/>
    <w:rsid w:val="00863BD0"/>
    <w:rsid w:val="00872292"/>
    <w:rsid w:val="00873C2E"/>
    <w:rsid w:val="00875F6C"/>
    <w:rsid w:val="0088388E"/>
    <w:rsid w:val="008842AB"/>
    <w:rsid w:val="00893D54"/>
    <w:rsid w:val="00894BEE"/>
    <w:rsid w:val="00894D2E"/>
    <w:rsid w:val="008A12CF"/>
    <w:rsid w:val="008A3141"/>
    <w:rsid w:val="008C47C6"/>
    <w:rsid w:val="008C7F5D"/>
    <w:rsid w:val="008D1A78"/>
    <w:rsid w:val="008D4ECE"/>
    <w:rsid w:val="008E004F"/>
    <w:rsid w:val="008E21F8"/>
    <w:rsid w:val="008E23B9"/>
    <w:rsid w:val="008E59DC"/>
    <w:rsid w:val="008E60FD"/>
    <w:rsid w:val="008F5115"/>
    <w:rsid w:val="00900DA8"/>
    <w:rsid w:val="00912D12"/>
    <w:rsid w:val="0091713E"/>
    <w:rsid w:val="009217DB"/>
    <w:rsid w:val="0093150C"/>
    <w:rsid w:val="009345E8"/>
    <w:rsid w:val="0094120D"/>
    <w:rsid w:val="00942CC4"/>
    <w:rsid w:val="009474E4"/>
    <w:rsid w:val="00950FE4"/>
    <w:rsid w:val="00957C64"/>
    <w:rsid w:val="0097092C"/>
    <w:rsid w:val="00990E84"/>
    <w:rsid w:val="009A2930"/>
    <w:rsid w:val="009B4ECC"/>
    <w:rsid w:val="009C1D34"/>
    <w:rsid w:val="009D18ED"/>
    <w:rsid w:val="009D3DC1"/>
    <w:rsid w:val="009F1C24"/>
    <w:rsid w:val="00A004E0"/>
    <w:rsid w:val="00A15BB7"/>
    <w:rsid w:val="00A15F25"/>
    <w:rsid w:val="00A16B3D"/>
    <w:rsid w:val="00A43489"/>
    <w:rsid w:val="00A43AF0"/>
    <w:rsid w:val="00A43BE3"/>
    <w:rsid w:val="00A4583B"/>
    <w:rsid w:val="00A50F4E"/>
    <w:rsid w:val="00A64724"/>
    <w:rsid w:val="00A65F6E"/>
    <w:rsid w:val="00A779ED"/>
    <w:rsid w:val="00A86190"/>
    <w:rsid w:val="00A97E66"/>
    <w:rsid w:val="00AB3008"/>
    <w:rsid w:val="00AC28E7"/>
    <w:rsid w:val="00AC57A3"/>
    <w:rsid w:val="00AD729D"/>
    <w:rsid w:val="00AE295E"/>
    <w:rsid w:val="00AF51DC"/>
    <w:rsid w:val="00B01913"/>
    <w:rsid w:val="00B03034"/>
    <w:rsid w:val="00B04278"/>
    <w:rsid w:val="00B14D9A"/>
    <w:rsid w:val="00B160A7"/>
    <w:rsid w:val="00B26616"/>
    <w:rsid w:val="00B34FD7"/>
    <w:rsid w:val="00B503CA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E13"/>
    <w:rsid w:val="00C02884"/>
    <w:rsid w:val="00C07166"/>
    <w:rsid w:val="00C164FD"/>
    <w:rsid w:val="00C21A85"/>
    <w:rsid w:val="00C24D6A"/>
    <w:rsid w:val="00C37AE5"/>
    <w:rsid w:val="00C5475D"/>
    <w:rsid w:val="00C64AAE"/>
    <w:rsid w:val="00C66B97"/>
    <w:rsid w:val="00C717BA"/>
    <w:rsid w:val="00C74E88"/>
    <w:rsid w:val="00CB3753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34541"/>
    <w:rsid w:val="00D360DB"/>
    <w:rsid w:val="00D463A5"/>
    <w:rsid w:val="00D46516"/>
    <w:rsid w:val="00D60AAF"/>
    <w:rsid w:val="00D621F5"/>
    <w:rsid w:val="00D72879"/>
    <w:rsid w:val="00D73BEF"/>
    <w:rsid w:val="00D774CA"/>
    <w:rsid w:val="00D82E85"/>
    <w:rsid w:val="00D8464B"/>
    <w:rsid w:val="00D848DD"/>
    <w:rsid w:val="00D922AB"/>
    <w:rsid w:val="00D92695"/>
    <w:rsid w:val="00D97A00"/>
    <w:rsid w:val="00DA7971"/>
    <w:rsid w:val="00DB2E9D"/>
    <w:rsid w:val="00DC55EC"/>
    <w:rsid w:val="00DE2D6D"/>
    <w:rsid w:val="00DE3A28"/>
    <w:rsid w:val="00DF4534"/>
    <w:rsid w:val="00DF4F99"/>
    <w:rsid w:val="00E03971"/>
    <w:rsid w:val="00E05BE2"/>
    <w:rsid w:val="00E10965"/>
    <w:rsid w:val="00E34C21"/>
    <w:rsid w:val="00E35C51"/>
    <w:rsid w:val="00E52D78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2915"/>
    <w:rsid w:val="00E948E0"/>
    <w:rsid w:val="00E96C13"/>
    <w:rsid w:val="00EB1CAE"/>
    <w:rsid w:val="00EB28BD"/>
    <w:rsid w:val="00EB6CEB"/>
    <w:rsid w:val="00EC314E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E2039"/>
    <w:rsid w:val="00EE2C00"/>
    <w:rsid w:val="00EF736C"/>
    <w:rsid w:val="00F03569"/>
    <w:rsid w:val="00F03D51"/>
    <w:rsid w:val="00F078F5"/>
    <w:rsid w:val="00F15E5E"/>
    <w:rsid w:val="00F359F6"/>
    <w:rsid w:val="00F3754D"/>
    <w:rsid w:val="00F41247"/>
    <w:rsid w:val="00F46136"/>
    <w:rsid w:val="00F50CA3"/>
    <w:rsid w:val="00F57453"/>
    <w:rsid w:val="00F61E30"/>
    <w:rsid w:val="00F76F67"/>
    <w:rsid w:val="00F8384A"/>
    <w:rsid w:val="00F8646C"/>
    <w:rsid w:val="00F96166"/>
    <w:rsid w:val="00F9620D"/>
    <w:rsid w:val="00FA2B92"/>
    <w:rsid w:val="00FB47EE"/>
    <w:rsid w:val="00FE663F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ree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F267-9D6D-4917-AAF8-A87ECDA5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3589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2016-04-29T08:28:00Z</cp:lastPrinted>
  <dcterms:created xsi:type="dcterms:W3CDTF">2016-08-04T14:13:00Z</dcterms:created>
  <dcterms:modified xsi:type="dcterms:W3CDTF">2016-08-04T14:13:00Z</dcterms:modified>
</cp:coreProperties>
</file>