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Default="00C672AA" w:rsidP="00C672AA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noProof/>
          <w:lang w:eastAsia="ru-RU"/>
        </w:rPr>
        <w:drawing>
          <wp:inline distT="0" distB="0" distL="0" distR="0">
            <wp:extent cx="3375660" cy="1287145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9D" w:rsidRDefault="009F029D" w:rsidP="009F029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E1C7B" w:rsidRPr="00877B3E" w:rsidRDefault="00877B3E" w:rsidP="006454E3">
      <w:pPr>
        <w:pStyle w:val="ConsPlusNormal"/>
        <w:ind w:firstLine="709"/>
        <w:jc w:val="center"/>
        <w:rPr>
          <w:b/>
        </w:rPr>
      </w:pPr>
      <w:r w:rsidRPr="00877B3E">
        <w:rPr>
          <w:b/>
        </w:rPr>
        <w:t xml:space="preserve">В </w:t>
      </w:r>
      <w:proofErr w:type="spellStart"/>
      <w:r w:rsidRPr="00877B3E">
        <w:rPr>
          <w:b/>
        </w:rPr>
        <w:t>Прикамье</w:t>
      </w:r>
      <w:proofErr w:type="spellEnd"/>
      <w:r w:rsidRPr="00877B3E">
        <w:rPr>
          <w:b/>
        </w:rPr>
        <w:t xml:space="preserve"> только 10% населенных пунктов имеют точные границы</w:t>
      </w:r>
    </w:p>
    <w:p w:rsidR="004E1C7B" w:rsidRDefault="004E1C7B" w:rsidP="004E1C7B">
      <w:pPr>
        <w:pStyle w:val="ConsPlusNormal"/>
        <w:ind w:firstLine="709"/>
        <w:jc w:val="both"/>
      </w:pPr>
      <w:r>
        <w:tab/>
      </w:r>
    </w:p>
    <w:p w:rsidR="00DB7D8D" w:rsidRPr="00DB7D8D" w:rsidRDefault="00DB7D8D" w:rsidP="00DB7D8D">
      <w:pPr>
        <w:pStyle w:val="ConsPlusNormal"/>
        <w:spacing w:line="312" w:lineRule="auto"/>
        <w:ind w:firstLine="709"/>
        <w:contextualSpacing/>
        <w:jc w:val="both"/>
      </w:pPr>
      <w:r w:rsidRPr="00DB7D8D">
        <w:t xml:space="preserve">Управление </w:t>
      </w:r>
      <w:proofErr w:type="spellStart"/>
      <w:r w:rsidRPr="00DB7D8D">
        <w:t>Росреестра</w:t>
      </w:r>
      <w:proofErr w:type="spellEnd"/>
      <w:r w:rsidRPr="00DB7D8D">
        <w:t xml:space="preserve"> по Пермскому краю проводит обязательную государственную экспертизу землеустроительной документации.</w:t>
      </w:r>
    </w:p>
    <w:p w:rsidR="00DB7D8D" w:rsidRPr="00DB7D8D" w:rsidRDefault="00DB7D8D" w:rsidP="00DB7D8D">
      <w:pPr>
        <w:pStyle w:val="ConsPlusNormal"/>
        <w:spacing w:line="312" w:lineRule="auto"/>
        <w:ind w:firstLine="709"/>
        <w:contextualSpacing/>
        <w:jc w:val="both"/>
      </w:pPr>
      <w:r w:rsidRPr="00DB7D8D">
        <w:t>Обязательной экспертизе подлежат землеустроительные дела по установлению границ территориальных зон и населенных пунктов Пермского края. Кроме того, по инициативе заинтересованных лиц проводится экспертиза иной землеустроительной документации.</w:t>
      </w:r>
    </w:p>
    <w:p w:rsidR="00DB7D8D" w:rsidRPr="00DB7D8D" w:rsidRDefault="00DB7D8D" w:rsidP="00DB7D8D">
      <w:pPr>
        <w:pStyle w:val="ConsPlusNormal"/>
        <w:spacing w:line="312" w:lineRule="auto"/>
        <w:ind w:firstLine="709"/>
        <w:contextualSpacing/>
        <w:jc w:val="both"/>
      </w:pPr>
      <w:r w:rsidRPr="00DB7D8D">
        <w:t>Необходимость проведения землеустроительной экспертизы в обязательном порядке связана с активизацией работ по установлению границ населенных пунктов, территориальных зон, в целях внесения в государственный кадастр недвижимости достоверных (бесспорных) сведений о местоположении границ объектов землеустройства, исключения фактов пересечения границ земельных участков с границами населенных пунктов, территориальных зон.</w:t>
      </w:r>
    </w:p>
    <w:p w:rsidR="00DB7D8D" w:rsidRPr="00DB7D8D" w:rsidRDefault="00FC6010" w:rsidP="00DB7D8D">
      <w:pPr>
        <w:pStyle w:val="ConsPlusNormal"/>
        <w:spacing w:line="312" w:lineRule="auto"/>
        <w:ind w:firstLine="709"/>
        <w:contextualSpacing/>
        <w:jc w:val="both"/>
      </w:pPr>
      <w:r w:rsidRPr="00FC6010">
        <w:t xml:space="preserve">Государственная экспертиза землеустроительной документации особенно нужна в настоящее время, когда вследствие ее отсутствия повышается риск чрезвычайных ситуаций на газопроводах, размещаемых без охранных зон в черте населенных пунктов; когда в </w:t>
      </w:r>
      <w:proofErr w:type="spellStart"/>
      <w:r w:rsidRPr="00FC6010">
        <w:t>водоохранных</w:t>
      </w:r>
      <w:proofErr w:type="spellEnd"/>
      <w:r w:rsidRPr="00FC6010">
        <w:t xml:space="preserve"> зонах рек и прибрежных полосах размещают коттеджи, когда сельскохозяйственные угодья незаконно переводятся под индивидуальное жилищное или дачное строительство и др.</w:t>
      </w:r>
    </w:p>
    <w:p w:rsidR="004E1C7B" w:rsidRPr="00DB7D8D" w:rsidRDefault="004E1C7B" w:rsidP="00DB7D8D">
      <w:pPr>
        <w:pStyle w:val="ConsPlusNormal"/>
        <w:spacing w:line="312" w:lineRule="auto"/>
        <w:ind w:firstLine="709"/>
        <w:contextualSpacing/>
        <w:jc w:val="both"/>
      </w:pPr>
      <w:r w:rsidRPr="00DB7D8D">
        <w:lastRenderedPageBreak/>
        <w:t xml:space="preserve">В 3 квартале 2016 года </w:t>
      </w:r>
      <w:r w:rsidR="00DB7D8D">
        <w:t xml:space="preserve">специалисты краевого Управления </w:t>
      </w:r>
      <w:proofErr w:type="spellStart"/>
      <w:r w:rsidR="00DB7D8D">
        <w:t>Росреестра</w:t>
      </w:r>
      <w:proofErr w:type="spellEnd"/>
      <w:r w:rsidR="00DB7D8D">
        <w:t xml:space="preserve"> провели экспертизу </w:t>
      </w:r>
      <w:r w:rsidRPr="00DB7D8D">
        <w:t>землеустроительн</w:t>
      </w:r>
      <w:r w:rsidR="00DB7D8D">
        <w:t>ой</w:t>
      </w:r>
      <w:r w:rsidRPr="00DB7D8D">
        <w:t xml:space="preserve"> документаци</w:t>
      </w:r>
      <w:r w:rsidR="00DB7D8D">
        <w:t>и</w:t>
      </w:r>
      <w:r w:rsidRPr="00DB7D8D">
        <w:t xml:space="preserve"> в отношении 453 объектов (границ населенных пунктов и границ территориальных зон).</w:t>
      </w:r>
    </w:p>
    <w:p w:rsidR="004E1C7B" w:rsidRDefault="004E1C7B" w:rsidP="00DB7D8D">
      <w:pPr>
        <w:pStyle w:val="ConsPlusNormal"/>
        <w:spacing w:line="312" w:lineRule="auto"/>
        <w:ind w:firstLine="709"/>
        <w:contextualSpacing/>
        <w:jc w:val="both"/>
      </w:pPr>
      <w:r w:rsidRPr="00DB7D8D">
        <w:t>По результатам проведения государственной землеустроительной экспертизы 93 объект</w:t>
      </w:r>
      <w:r w:rsidR="00DB7D8D">
        <w:t>а</w:t>
      </w:r>
      <w:r w:rsidRPr="00DB7D8D">
        <w:t xml:space="preserve"> землеустройства получили положительное заключение экспертной комиссии, 233</w:t>
      </w:r>
      <w:r w:rsidR="00DB7D8D">
        <w:t xml:space="preserve"> -</w:t>
      </w:r>
      <w:r w:rsidRPr="00DB7D8D">
        <w:t xml:space="preserve"> отрицательное, 127 объектов направлены на доработку исполнителям землеустроительных работ.</w:t>
      </w:r>
    </w:p>
    <w:p w:rsidR="00877B3E" w:rsidRDefault="00877B3E" w:rsidP="00877B3E">
      <w:pPr>
        <w:pStyle w:val="ConsPlusNormal"/>
        <w:spacing w:line="312" w:lineRule="auto"/>
        <w:ind w:firstLine="709"/>
        <w:contextualSpacing/>
        <w:jc w:val="both"/>
      </w:pPr>
      <w:r>
        <w:t xml:space="preserve">Эксперты </w:t>
      </w:r>
      <w:proofErr w:type="spellStart"/>
      <w:r>
        <w:t>Росреестра</w:t>
      </w:r>
      <w:proofErr w:type="spellEnd"/>
      <w:r>
        <w:t xml:space="preserve"> отмечают следующие недочеты и  замечания при подготовке землеустроительной документации:</w:t>
      </w:r>
    </w:p>
    <w:p w:rsidR="00877B3E" w:rsidRDefault="00877B3E" w:rsidP="00877B3E">
      <w:pPr>
        <w:pStyle w:val="ConsPlusNormal"/>
        <w:spacing w:line="312" w:lineRule="auto"/>
        <w:ind w:firstLine="709"/>
        <w:contextualSpacing/>
        <w:jc w:val="both"/>
      </w:pPr>
      <w:r>
        <w:t>- конфигурация границ территориальных зон не соответствует конфигурации границ в документе</w:t>
      </w:r>
      <w:r w:rsidR="00B70351">
        <w:t>-</w:t>
      </w:r>
      <w:r>
        <w:t>основании, а именно правилах землепользования и застройки;</w:t>
      </w:r>
    </w:p>
    <w:p w:rsidR="00877B3E" w:rsidRDefault="00877B3E" w:rsidP="00877B3E">
      <w:pPr>
        <w:pStyle w:val="ConsPlusNormal"/>
        <w:spacing w:line="312" w:lineRule="auto"/>
        <w:ind w:firstLine="709"/>
        <w:contextualSpacing/>
        <w:jc w:val="both"/>
      </w:pPr>
      <w:r>
        <w:t>- пересечение границ территориальных зон с границами земельных участков;</w:t>
      </w:r>
    </w:p>
    <w:p w:rsidR="00877B3E" w:rsidRDefault="00877B3E" w:rsidP="00877B3E">
      <w:pPr>
        <w:pStyle w:val="ConsPlusNormal"/>
        <w:spacing w:line="312" w:lineRule="auto"/>
        <w:ind w:firstLine="709"/>
        <w:contextualSpacing/>
        <w:jc w:val="both"/>
      </w:pPr>
      <w:r>
        <w:t>- некорректно сформированный XML-документ;</w:t>
      </w:r>
    </w:p>
    <w:p w:rsidR="00877B3E" w:rsidRDefault="00877B3E" w:rsidP="00877B3E">
      <w:pPr>
        <w:pStyle w:val="ConsPlusNormal"/>
        <w:spacing w:line="312" w:lineRule="auto"/>
        <w:ind w:firstLine="709"/>
        <w:contextualSpacing/>
        <w:jc w:val="both"/>
      </w:pPr>
      <w:r>
        <w:t>- иные нарушения Требований к составлению карты (плана) объекта землеустройства, утвержденных Постановлением Правительства РФ от 30.07.2009 № 621, а также Порядка описания местоположения границ объектов землеустройства, утвержденного приказом Минэкономразвития России от 03.06.2011 № 267.</w:t>
      </w:r>
    </w:p>
    <w:p w:rsidR="00877B3E" w:rsidRDefault="00877B3E" w:rsidP="00877B3E">
      <w:pPr>
        <w:pStyle w:val="ConsPlusNormal"/>
        <w:spacing w:line="312" w:lineRule="auto"/>
        <w:ind w:firstLine="709"/>
        <w:contextualSpacing/>
        <w:jc w:val="both"/>
      </w:pPr>
      <w:r>
        <w:t>Значительная часть отрицательных заключений обусловлена низким качеством выполнения работ при подготовке землеустроительной документации исполнителями, т.к. на повторную экспертизу поступает землеустроительная документация без устранения ранее направленных замечаний.</w:t>
      </w:r>
    </w:p>
    <w:p w:rsidR="00877B3E" w:rsidRPr="00DB7D8D" w:rsidRDefault="00877B3E" w:rsidP="00877B3E">
      <w:pPr>
        <w:pStyle w:val="ConsPlusNormal"/>
        <w:spacing w:line="312" w:lineRule="auto"/>
        <w:ind w:firstLine="709"/>
        <w:contextualSpacing/>
        <w:jc w:val="both"/>
      </w:pPr>
      <w:r>
        <w:t xml:space="preserve">В этой связи Управление </w:t>
      </w:r>
      <w:proofErr w:type="spellStart"/>
      <w:r>
        <w:t>Росреестра</w:t>
      </w:r>
      <w:proofErr w:type="spellEnd"/>
      <w:r>
        <w:t xml:space="preserve"> по Пермскому краю   рекомендует органам местного самоуправления как заказчикам проведения кадастровых работ при приёмке землеустроительной </w:t>
      </w:r>
      <w:r>
        <w:lastRenderedPageBreak/>
        <w:t>документации от исполнителей более внимательно изучать подготовленные ими документы, производить оплату выполненных работ после внесения сведений о границах объектов землеустройства в государственный кадастр недвижимости.</w:t>
      </w:r>
    </w:p>
    <w:p w:rsidR="004E1C7B" w:rsidRPr="00DB7D8D" w:rsidRDefault="004E1C7B" w:rsidP="00DB7D8D">
      <w:pPr>
        <w:pStyle w:val="ConsPlusNormal"/>
        <w:spacing w:line="312" w:lineRule="auto"/>
        <w:ind w:firstLine="709"/>
        <w:contextualSpacing/>
        <w:jc w:val="both"/>
      </w:pPr>
      <w:r w:rsidRPr="00DB7D8D">
        <w:t xml:space="preserve">По результатам проведённой экспертизы </w:t>
      </w:r>
      <w:r w:rsidR="00E5157F">
        <w:t xml:space="preserve">в 3 квартале 2016 года </w:t>
      </w:r>
      <w:r w:rsidRPr="00DB7D8D">
        <w:t xml:space="preserve">в </w:t>
      </w:r>
      <w:r w:rsidR="00DB7D8D">
        <w:t>государственный кадастр</w:t>
      </w:r>
      <w:r w:rsidRPr="00DB7D8D">
        <w:t xml:space="preserve"> </w:t>
      </w:r>
      <w:r w:rsidR="00DB7D8D">
        <w:t xml:space="preserve">недвижимости </w:t>
      </w:r>
      <w:r w:rsidRPr="00DB7D8D">
        <w:t>внесены сведения о  56 объе</w:t>
      </w:r>
      <w:r w:rsidR="00DB7D8D">
        <w:t>ктах землеустройства (12 границ населенных пунктов</w:t>
      </w:r>
      <w:r w:rsidRPr="00DB7D8D">
        <w:t>, 44 границы территориальных зон).</w:t>
      </w:r>
    </w:p>
    <w:p w:rsidR="00880B40" w:rsidRDefault="004E1C7B" w:rsidP="00DB7D8D">
      <w:pPr>
        <w:pStyle w:val="ConsPlusNormal"/>
        <w:spacing w:line="312" w:lineRule="auto"/>
        <w:ind w:firstLine="709"/>
        <w:contextualSpacing/>
        <w:jc w:val="both"/>
      </w:pPr>
      <w:r w:rsidRPr="00DB7D8D">
        <w:t>Всего</w:t>
      </w:r>
      <w:r w:rsidR="00F37ABB">
        <w:t xml:space="preserve"> в</w:t>
      </w:r>
      <w:r w:rsidRPr="00DB7D8D">
        <w:t xml:space="preserve"> </w:t>
      </w:r>
      <w:r w:rsidR="00DB7D8D">
        <w:t>государственном кадастре недвижимости содержа</w:t>
      </w:r>
      <w:r w:rsidRPr="00DB7D8D">
        <w:t>тся сведени</w:t>
      </w:r>
      <w:r w:rsidR="00DB7D8D">
        <w:t>я</w:t>
      </w:r>
      <w:r w:rsidRPr="00DB7D8D">
        <w:t xml:space="preserve"> о 339 границах муниципальных образований</w:t>
      </w:r>
      <w:r w:rsidR="00DB7D8D">
        <w:t xml:space="preserve"> Пермского края, что составляет </w:t>
      </w:r>
      <w:r w:rsidRPr="00DB7D8D">
        <w:t>100 %</w:t>
      </w:r>
      <w:r w:rsidR="00DB7D8D">
        <w:t>. Таким образом</w:t>
      </w:r>
      <w:r w:rsidRPr="00DB7D8D">
        <w:t xml:space="preserve">, </w:t>
      </w:r>
      <w:r w:rsidR="00DB7D8D">
        <w:t xml:space="preserve">все муниципальные образования края провели работу по установлению границ и внесению этих сведений в кадастр недвижимости. </w:t>
      </w:r>
      <w:r w:rsidR="00880B40">
        <w:t xml:space="preserve">Более скромно на этом фоне выглядит ситуация с определением границ населенных пунктов и закреплением этих границ в государственном кадастре недвижимости. На сегодняшний день только 342 </w:t>
      </w:r>
      <w:proofErr w:type="gramStart"/>
      <w:r w:rsidR="00880B40">
        <w:t>населенных</w:t>
      </w:r>
      <w:proofErr w:type="gramEnd"/>
      <w:r w:rsidR="00880B40">
        <w:t xml:space="preserve"> пункта из 3628 имеют документально зафиксированные границы.</w:t>
      </w:r>
    </w:p>
    <w:p w:rsidR="004D73DF" w:rsidRDefault="004D73DF" w:rsidP="004D73DF">
      <w:pPr>
        <w:pStyle w:val="ConsPlusNormal"/>
        <w:spacing w:line="312" w:lineRule="auto"/>
        <w:ind w:firstLine="709"/>
        <w:contextualSpacing/>
        <w:jc w:val="both"/>
      </w:pPr>
      <w:r>
        <w:t>Чем чревато отсутствие установленных границ городов, сел и деревень? Прежде всего, владельцы земельных участков, расположенных на окраине населенного пункта без границ, не имеют гарантий того, что их земля находится в пределах городской, поселковой черты, а значит, имеет необходимую для строительства категорию и разрешенное использование. В таком случае землевладельцам придется менять  характеристики участков, это весьма длительная и хлопотная процедура, к тому же изменение категории земли не всегда возможно.</w:t>
      </w:r>
    </w:p>
    <w:p w:rsidR="004D73DF" w:rsidRDefault="004D73DF" w:rsidP="004D73DF">
      <w:pPr>
        <w:pStyle w:val="ConsPlusNormal"/>
        <w:spacing w:line="312" w:lineRule="auto"/>
        <w:ind w:firstLine="709"/>
        <w:contextualSpacing/>
        <w:jc w:val="both"/>
      </w:pPr>
      <w:r>
        <w:t xml:space="preserve">Строительство на такой земле, без соблюдения условий и разрешений, установленных законодательством, будет являться </w:t>
      </w:r>
      <w:proofErr w:type="spellStart"/>
      <w:r>
        <w:t>самостроем</w:t>
      </w:r>
      <w:proofErr w:type="spellEnd"/>
      <w:r>
        <w:t xml:space="preserve">,  а владельцам несанкционированных объектов грозит </w:t>
      </w:r>
      <w:r>
        <w:lastRenderedPageBreak/>
        <w:t>судебное разбирательство, штраф или  демонтаж самовольного строения.</w:t>
      </w:r>
    </w:p>
    <w:p w:rsidR="004D73DF" w:rsidRDefault="004D73DF" w:rsidP="004D73DF">
      <w:pPr>
        <w:pStyle w:val="ConsPlusNormal"/>
        <w:spacing w:line="312" w:lineRule="auto"/>
        <w:ind w:firstLine="709"/>
        <w:contextualSpacing/>
        <w:jc w:val="both"/>
      </w:pPr>
      <w:r>
        <w:t>В соответствии с законом о кадастре, устанавливать границы  населенных пунктов обязаны органы местного самоуправления. После установления границ сведения должны быть внесены в государственный кадастр недвижимости.</w:t>
      </w:r>
    </w:p>
    <w:p w:rsidR="00877B3E" w:rsidRDefault="00877B3E" w:rsidP="004D73DF">
      <w:pPr>
        <w:pStyle w:val="ConsPlusNormal"/>
        <w:spacing w:line="312" w:lineRule="auto"/>
        <w:ind w:firstLine="709"/>
        <w:contextualSpacing/>
        <w:jc w:val="both"/>
      </w:pPr>
      <w:r>
        <w:t>П</w:t>
      </w:r>
      <w:r w:rsidR="004D73DF">
        <w:t xml:space="preserve">ри покупке земельного участка </w:t>
      </w: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Пермскому краю рекомендует гражданам </w:t>
      </w:r>
      <w:r w:rsidR="004D73DF">
        <w:t xml:space="preserve">проверять сведения о его категории, виде разрешенного использования и границах с помощью сервисов «Сведения о недвижимости в режиме </w:t>
      </w:r>
      <w:proofErr w:type="spellStart"/>
      <w:r w:rsidR="004D73DF">
        <w:t>on-line</w:t>
      </w:r>
      <w:proofErr w:type="spellEnd"/>
      <w:r w:rsidR="004D73DF">
        <w:t>» и «Публичная кадастровая карта» на порт</w:t>
      </w:r>
      <w:r>
        <w:t xml:space="preserve">але </w:t>
      </w:r>
      <w:proofErr w:type="spellStart"/>
      <w:r>
        <w:t>Росреестра</w:t>
      </w:r>
      <w:proofErr w:type="spellEnd"/>
      <w:r>
        <w:t xml:space="preserve"> </w:t>
      </w:r>
      <w:hyperlink r:id="rId5" w:history="1">
        <w:r w:rsidRPr="00CD3B0A">
          <w:rPr>
            <w:rStyle w:val="a5"/>
          </w:rPr>
          <w:t>www.rosreestr.ru</w:t>
        </w:r>
      </w:hyperlink>
      <w:r>
        <w:t>.</w:t>
      </w:r>
    </w:p>
    <w:p w:rsidR="007D56BF" w:rsidRDefault="007D56BF" w:rsidP="00AA141E">
      <w:pPr>
        <w:pStyle w:val="ConsPlusNormal"/>
        <w:ind w:firstLine="709"/>
        <w:jc w:val="both"/>
      </w:pPr>
    </w:p>
    <w:p w:rsidR="00C42FAF" w:rsidRDefault="00C42FAF" w:rsidP="00AA141E">
      <w:pPr>
        <w:pStyle w:val="ConsPlusNormal"/>
        <w:ind w:firstLine="709"/>
        <w:jc w:val="both"/>
      </w:pPr>
    </w:p>
    <w:p w:rsidR="00C42FAF" w:rsidRPr="00C42FAF" w:rsidRDefault="002E5E7F" w:rsidP="004E1C7B">
      <w:pPr>
        <w:jc w:val="both"/>
        <w:rPr>
          <w:rFonts w:ascii="Segoe UI" w:hAnsi="Segoe UI" w:cs="Segoe UI"/>
        </w:rPr>
      </w:pPr>
      <w:r w:rsidRPr="002E5E7F"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.1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C42FAF" w:rsidRPr="00C42FAF">
        <w:rPr>
          <w:rFonts w:ascii="Segoe UI" w:hAnsi="Segoe UI" w:cs="Segoe UI"/>
        </w:rPr>
        <w:t xml:space="preserve">Об Управлении </w:t>
      </w:r>
      <w:proofErr w:type="spellStart"/>
      <w:r w:rsidR="00C42FAF" w:rsidRPr="00C42FAF">
        <w:rPr>
          <w:rFonts w:ascii="Segoe UI" w:hAnsi="Segoe UI" w:cs="Segoe UI"/>
        </w:rPr>
        <w:t>Росреестра</w:t>
      </w:r>
      <w:proofErr w:type="spellEnd"/>
      <w:r w:rsidR="00C42FAF" w:rsidRPr="00C42FAF">
        <w:rPr>
          <w:rFonts w:ascii="Segoe UI" w:hAnsi="Segoe UI" w:cs="Segoe UI"/>
        </w:rPr>
        <w:t xml:space="preserve"> по Пермскому краю</w:t>
      </w:r>
    </w:p>
    <w:p w:rsidR="00C42FAF" w:rsidRPr="00C42FAF" w:rsidRDefault="00C42FAF" w:rsidP="00C42FAF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C42FA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C42FAF" w:rsidRPr="00C42FAF" w:rsidRDefault="002E5E7F" w:rsidP="00C42FAF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6" w:history="1">
        <w:r w:rsidR="00C42FAF" w:rsidRPr="00C42FAF">
          <w:rPr>
            <w:rFonts w:ascii="Segoe UI" w:hAnsi="Segoe UI" w:cs="Segoe UI"/>
            <w:b/>
            <w:noProof/>
            <w:color w:val="0000FF"/>
            <w:u w:val="single"/>
            <w:lang w:val="en-US" w:eastAsia="sk-SK"/>
          </w:rPr>
          <w:t>http</w:t>
        </w:r>
        <w:r w:rsidR="00C42FAF" w:rsidRPr="00C42FAF">
          <w:rPr>
            <w:rFonts w:ascii="Segoe UI" w:hAnsi="Segoe UI" w:cs="Segoe UI"/>
            <w:b/>
            <w:noProof/>
            <w:color w:val="0000FF"/>
            <w:u w:val="single"/>
            <w:lang w:eastAsia="sk-SK"/>
          </w:rPr>
          <w:t>://</w:t>
        </w:r>
        <w:r w:rsidR="00C42FAF" w:rsidRPr="00C42FAF">
          <w:rPr>
            <w:rFonts w:ascii="Segoe UI" w:hAnsi="Segoe UI" w:cs="Segoe UI"/>
            <w:b/>
            <w:noProof/>
            <w:color w:val="0000FF"/>
            <w:u w:val="single"/>
            <w:lang w:val="en-US" w:eastAsia="sk-SK"/>
          </w:rPr>
          <w:t>rosreestr</w:t>
        </w:r>
        <w:r w:rsidR="00C42FAF" w:rsidRPr="00C42FAF">
          <w:rPr>
            <w:rFonts w:ascii="Segoe UI" w:hAnsi="Segoe UI" w:cs="Segoe UI"/>
            <w:b/>
            <w:noProof/>
            <w:color w:val="0000FF"/>
            <w:u w:val="single"/>
            <w:lang w:eastAsia="sk-SK"/>
          </w:rPr>
          <w:t>.</w:t>
        </w:r>
        <w:r w:rsidR="00C42FAF" w:rsidRPr="00C42FAF">
          <w:rPr>
            <w:rFonts w:ascii="Segoe UI" w:hAnsi="Segoe UI" w:cs="Segoe UI"/>
            <w:b/>
            <w:noProof/>
            <w:color w:val="0000FF"/>
            <w:u w:val="single"/>
            <w:lang w:val="en-US" w:eastAsia="sk-SK"/>
          </w:rPr>
          <w:t>ru</w:t>
        </w:r>
        <w:r w:rsidR="00C42FAF" w:rsidRPr="00C42FAF">
          <w:rPr>
            <w:rFonts w:ascii="Segoe UI" w:hAnsi="Segoe UI" w:cs="Segoe UI"/>
            <w:b/>
            <w:noProof/>
            <w:color w:val="0000FF"/>
            <w:u w:val="single"/>
            <w:lang w:eastAsia="sk-SK"/>
          </w:rPr>
          <w:t>/</w:t>
        </w:r>
      </w:hyperlink>
      <w:r w:rsidR="00C42FAF" w:rsidRPr="00C42FAF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C42FAF" w:rsidRPr="00C42FAF" w:rsidRDefault="00C42FAF" w:rsidP="00C42FAF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C42FAF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C42FAF" w:rsidRPr="00C42FAF" w:rsidRDefault="00C42FAF" w:rsidP="00C42FAF">
      <w:pPr>
        <w:jc w:val="both"/>
        <w:rPr>
          <w:rFonts w:ascii="Segoe UI" w:hAnsi="Segoe UI" w:cs="Segoe UI"/>
          <w:b/>
          <w:noProof/>
          <w:lang w:eastAsia="sk-SK"/>
        </w:rPr>
      </w:pPr>
      <w:r w:rsidRPr="00C42FA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42FAF" w:rsidRPr="00C42FAF" w:rsidRDefault="00C42FAF" w:rsidP="00C42FA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42FAF">
        <w:rPr>
          <w:rFonts w:ascii="Segoe UI" w:hAnsi="Segoe UI" w:cs="Segoe UI"/>
          <w:sz w:val="18"/>
          <w:szCs w:val="18"/>
        </w:rPr>
        <w:t>Пресс-служба Управления Федеральной службы </w:t>
      </w:r>
      <w:r w:rsidRPr="00C42FAF">
        <w:rPr>
          <w:rFonts w:ascii="Segoe UI" w:hAnsi="Segoe UI" w:cs="Segoe UI"/>
          <w:sz w:val="18"/>
          <w:szCs w:val="18"/>
        </w:rPr>
        <w:br/>
        <w:t>государственной регистрации, кадастра и картографии (</w:t>
      </w:r>
      <w:proofErr w:type="spellStart"/>
      <w:r w:rsidRPr="00C42FA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C42FAF">
        <w:rPr>
          <w:rFonts w:ascii="Segoe UI" w:hAnsi="Segoe UI" w:cs="Segoe UI"/>
          <w:sz w:val="18"/>
          <w:szCs w:val="18"/>
        </w:rPr>
        <w:t>) по Пермскому краю</w:t>
      </w:r>
    </w:p>
    <w:p w:rsidR="00C42FAF" w:rsidRPr="00C42FAF" w:rsidRDefault="00C42FAF" w:rsidP="00C42FAF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42FAF" w:rsidRPr="00C42FAF" w:rsidRDefault="00C42FAF" w:rsidP="00C42FA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42FAF">
        <w:rPr>
          <w:rFonts w:ascii="Segoe UI" w:hAnsi="Segoe UI" w:cs="Segoe UI"/>
          <w:sz w:val="20"/>
          <w:szCs w:val="20"/>
        </w:rPr>
        <w:t>Светлана Пономарева</w:t>
      </w:r>
    </w:p>
    <w:p w:rsidR="00C42FAF" w:rsidRPr="00C42FAF" w:rsidRDefault="00C42FAF" w:rsidP="00C42FAF">
      <w:pPr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C42FAF">
        <w:rPr>
          <w:rFonts w:ascii="Segoe UI" w:hAnsi="Segoe UI" w:cs="Segoe UI"/>
          <w:sz w:val="20"/>
          <w:szCs w:val="20"/>
        </w:rPr>
        <w:t>+7</w:t>
      </w:r>
      <w:r w:rsidRPr="00C42FAF">
        <w:rPr>
          <w:rFonts w:ascii="Segoe UI" w:hAnsi="Segoe UI" w:cs="Segoe UI"/>
          <w:sz w:val="20"/>
          <w:szCs w:val="20"/>
          <w:lang w:val="en-US"/>
        </w:rPr>
        <w:t> </w:t>
      </w:r>
      <w:r w:rsidRPr="00C42FAF">
        <w:rPr>
          <w:rFonts w:ascii="Segoe UI" w:hAnsi="Segoe UI" w:cs="Segoe UI"/>
          <w:sz w:val="20"/>
          <w:szCs w:val="20"/>
        </w:rPr>
        <w:t>342</w:t>
      </w:r>
      <w:r w:rsidRPr="00C42FAF">
        <w:rPr>
          <w:rFonts w:ascii="Segoe UI" w:hAnsi="Segoe UI" w:cs="Segoe UI"/>
          <w:sz w:val="20"/>
          <w:szCs w:val="20"/>
          <w:lang w:val="en-US"/>
        </w:rPr>
        <w:t> </w:t>
      </w:r>
      <w:r w:rsidRPr="00C42FAF">
        <w:rPr>
          <w:rFonts w:ascii="Segoe UI" w:hAnsi="Segoe UI" w:cs="Segoe UI"/>
          <w:sz w:val="20"/>
          <w:szCs w:val="20"/>
        </w:rPr>
        <w:t>218-35-82</w:t>
      </w:r>
    </w:p>
    <w:p w:rsidR="00C42FAF" w:rsidRPr="00C42FAF" w:rsidRDefault="00C42FAF" w:rsidP="00C42FA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42FAF">
        <w:rPr>
          <w:rFonts w:ascii="Segoe UI" w:hAnsi="Segoe UI" w:cs="Segoe UI"/>
          <w:sz w:val="20"/>
          <w:szCs w:val="20"/>
        </w:rPr>
        <w:t>+7</w:t>
      </w:r>
      <w:r w:rsidRPr="00C42FAF">
        <w:rPr>
          <w:rFonts w:ascii="Segoe UI" w:hAnsi="Segoe UI" w:cs="Segoe UI"/>
          <w:sz w:val="20"/>
          <w:szCs w:val="20"/>
          <w:lang w:val="en-US"/>
        </w:rPr>
        <w:t> </w:t>
      </w:r>
      <w:r w:rsidRPr="00C42FAF">
        <w:rPr>
          <w:rFonts w:ascii="Segoe UI" w:hAnsi="Segoe UI" w:cs="Segoe UI"/>
          <w:sz w:val="20"/>
          <w:szCs w:val="20"/>
        </w:rPr>
        <w:t>342</w:t>
      </w:r>
      <w:r w:rsidRPr="00C42FAF">
        <w:rPr>
          <w:rFonts w:ascii="Segoe UI" w:hAnsi="Segoe UI" w:cs="Segoe UI"/>
          <w:sz w:val="20"/>
          <w:szCs w:val="20"/>
          <w:lang w:val="en-US"/>
        </w:rPr>
        <w:t> </w:t>
      </w:r>
      <w:r w:rsidRPr="00C42FAF">
        <w:rPr>
          <w:rFonts w:ascii="Segoe UI" w:hAnsi="Segoe UI" w:cs="Segoe UI"/>
          <w:sz w:val="20"/>
          <w:szCs w:val="20"/>
        </w:rPr>
        <w:t>218-35-83</w:t>
      </w:r>
    </w:p>
    <w:p w:rsidR="00C42FAF" w:rsidRPr="00C42FAF" w:rsidRDefault="00C42FAF" w:rsidP="00C42FAF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C672AA" w:rsidRPr="00692106" w:rsidRDefault="00C672AA" w:rsidP="009F029D">
      <w:pPr>
        <w:pStyle w:val="ConsPlusNormal"/>
        <w:spacing w:after="200" w:line="276" w:lineRule="auto"/>
        <w:ind w:firstLine="709"/>
        <w:jc w:val="both"/>
      </w:pPr>
    </w:p>
    <w:sectPr w:rsidR="00C672AA" w:rsidRPr="00692106" w:rsidSect="00A0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029D"/>
    <w:rsid w:val="00006ECD"/>
    <w:rsid w:val="000D3F5D"/>
    <w:rsid w:val="00103BDA"/>
    <w:rsid w:val="001B6BD0"/>
    <w:rsid w:val="001C7514"/>
    <w:rsid w:val="00227A71"/>
    <w:rsid w:val="0024153B"/>
    <w:rsid w:val="0026386F"/>
    <w:rsid w:val="002E5E7F"/>
    <w:rsid w:val="002F7C8A"/>
    <w:rsid w:val="00313875"/>
    <w:rsid w:val="003154E8"/>
    <w:rsid w:val="00344EF4"/>
    <w:rsid w:val="003E44C6"/>
    <w:rsid w:val="00441803"/>
    <w:rsid w:val="004553DC"/>
    <w:rsid w:val="00482FFC"/>
    <w:rsid w:val="0048753E"/>
    <w:rsid w:val="004D51F7"/>
    <w:rsid w:val="004D73DF"/>
    <w:rsid w:val="004E1C7B"/>
    <w:rsid w:val="00516A04"/>
    <w:rsid w:val="00531EE5"/>
    <w:rsid w:val="005D6184"/>
    <w:rsid w:val="0064274A"/>
    <w:rsid w:val="006454E3"/>
    <w:rsid w:val="0065047A"/>
    <w:rsid w:val="00652F54"/>
    <w:rsid w:val="006623EF"/>
    <w:rsid w:val="00692106"/>
    <w:rsid w:val="00727DD6"/>
    <w:rsid w:val="00743FAD"/>
    <w:rsid w:val="0074698D"/>
    <w:rsid w:val="00766E60"/>
    <w:rsid w:val="007D56BF"/>
    <w:rsid w:val="00847F3F"/>
    <w:rsid w:val="00877B3E"/>
    <w:rsid w:val="00880B40"/>
    <w:rsid w:val="00884449"/>
    <w:rsid w:val="008B463A"/>
    <w:rsid w:val="008C2DE1"/>
    <w:rsid w:val="008D7CB2"/>
    <w:rsid w:val="008F14BA"/>
    <w:rsid w:val="009A0F3C"/>
    <w:rsid w:val="009A554B"/>
    <w:rsid w:val="009E3C75"/>
    <w:rsid w:val="009F029D"/>
    <w:rsid w:val="00A040DF"/>
    <w:rsid w:val="00A41296"/>
    <w:rsid w:val="00A60191"/>
    <w:rsid w:val="00A94821"/>
    <w:rsid w:val="00AA141E"/>
    <w:rsid w:val="00B21ECA"/>
    <w:rsid w:val="00B70351"/>
    <w:rsid w:val="00B70FE9"/>
    <w:rsid w:val="00BC2311"/>
    <w:rsid w:val="00C42FAF"/>
    <w:rsid w:val="00C5071B"/>
    <w:rsid w:val="00C6427C"/>
    <w:rsid w:val="00C672AA"/>
    <w:rsid w:val="00C768AF"/>
    <w:rsid w:val="00DB7D8D"/>
    <w:rsid w:val="00E5157F"/>
    <w:rsid w:val="00E52D78"/>
    <w:rsid w:val="00E905C6"/>
    <w:rsid w:val="00F25873"/>
    <w:rsid w:val="00F37ABB"/>
    <w:rsid w:val="00F5478A"/>
    <w:rsid w:val="00FC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29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A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672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72A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29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A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672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72A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Рахманов_ЯИ</dc:creator>
  <cp:lastModifiedBy>Щербинина Светлана Юрьевна</cp:lastModifiedBy>
  <cp:revision>2</cp:revision>
  <cp:lastPrinted>2016-09-14T11:06:00Z</cp:lastPrinted>
  <dcterms:created xsi:type="dcterms:W3CDTF">2016-10-03T04:32:00Z</dcterms:created>
  <dcterms:modified xsi:type="dcterms:W3CDTF">2016-10-03T04:32:00Z</dcterms:modified>
</cp:coreProperties>
</file>