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62684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5025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19FC" w:rsidRDefault="00FD19FC" w:rsidP="00FD19FC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Особенности продажи недвижимости с участием несовершеннолетних</w:t>
      </w:r>
    </w:p>
    <w:p w:rsidR="00FD19FC" w:rsidRPr="00F468F6" w:rsidRDefault="00FD19FC" w:rsidP="00FD19FC">
      <w:pPr>
        <w:spacing w:after="0"/>
        <w:ind w:firstLine="709"/>
        <w:jc w:val="both"/>
        <w:rPr>
          <w:rFonts w:ascii="Segoe UI" w:hAnsi="Segoe UI" w:cs="Segoe UI"/>
          <w:sz w:val="28"/>
          <w:szCs w:val="20"/>
          <w:lang w:eastAsia="ru-RU"/>
        </w:rPr>
      </w:pPr>
      <w:r>
        <w:rPr>
          <w:rFonts w:ascii="Segoe UI" w:hAnsi="Segoe UI" w:cs="Segoe UI"/>
          <w:sz w:val="28"/>
          <w:szCs w:val="20"/>
          <w:lang w:eastAsia="ru-RU"/>
        </w:rPr>
        <w:t xml:space="preserve">Сделки </w:t>
      </w:r>
      <w:r w:rsidRPr="00F468F6">
        <w:rPr>
          <w:rFonts w:ascii="Segoe UI" w:hAnsi="Segoe UI" w:cs="Segoe UI"/>
          <w:sz w:val="28"/>
          <w:szCs w:val="20"/>
          <w:lang w:eastAsia="ru-RU"/>
        </w:rPr>
        <w:t>на основании договоров купли-продажи недвижимого имущества, в том числе принадлежащего несовершеннолетнему</w:t>
      </w:r>
      <w:r>
        <w:rPr>
          <w:rFonts w:ascii="Segoe UI" w:hAnsi="Segoe UI" w:cs="Segoe UI"/>
          <w:sz w:val="28"/>
          <w:szCs w:val="20"/>
          <w:lang w:eastAsia="ru-RU"/>
        </w:rPr>
        <w:t>, в нашей жизни не редкость. В этих случаях в</w:t>
      </w:r>
      <w:r w:rsidRPr="00F468F6">
        <w:rPr>
          <w:rFonts w:ascii="Segoe UI" w:hAnsi="Segoe UI" w:cs="Segoe UI"/>
          <w:sz w:val="28"/>
          <w:szCs w:val="20"/>
          <w:lang w:eastAsia="ru-RU"/>
        </w:rPr>
        <w:t xml:space="preserve"> Управлени</w:t>
      </w:r>
      <w:r>
        <w:rPr>
          <w:rFonts w:ascii="Segoe UI" w:hAnsi="Segoe UI" w:cs="Segoe UI"/>
          <w:sz w:val="28"/>
          <w:szCs w:val="20"/>
          <w:lang w:eastAsia="ru-RU"/>
        </w:rPr>
        <w:t>е</w:t>
      </w:r>
      <w:r w:rsidRPr="00F468F6">
        <w:rPr>
          <w:rFonts w:ascii="Segoe UI" w:hAnsi="Segoe UI" w:cs="Segoe UI"/>
          <w:sz w:val="28"/>
          <w:szCs w:val="20"/>
          <w:lang w:eastAsia="ru-RU"/>
        </w:rPr>
        <w:t xml:space="preserve"> Росреестра по Пермскому краю обращ</w:t>
      </w:r>
      <w:r>
        <w:rPr>
          <w:rFonts w:ascii="Segoe UI" w:hAnsi="Segoe UI" w:cs="Segoe UI"/>
          <w:sz w:val="28"/>
          <w:szCs w:val="20"/>
          <w:lang w:eastAsia="ru-RU"/>
        </w:rPr>
        <w:t>аются</w:t>
      </w:r>
      <w:r w:rsidRPr="00F468F6">
        <w:rPr>
          <w:rFonts w:ascii="Segoe UI" w:hAnsi="Segoe UI" w:cs="Segoe UI"/>
          <w:sz w:val="28"/>
          <w:szCs w:val="20"/>
          <w:lang w:eastAsia="ru-RU"/>
        </w:rPr>
        <w:t xml:space="preserve"> с заявлением о регистрации перехода права собственности под условием. 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>Об особенностях регистрации таких сделок расскажет Марина Суворова, начальник отдела правового обеспечения Управления Росреестра по Пермскому краю: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 xml:space="preserve">В нашей стране права несовершеннолетних находятся под особой защитой. Отчуждение жилого помещения, принадлежащего несовершеннолетнему или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лиц,, допускается только с разрешения органа опеки и попечительства. 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>Из этих условий вытекают требования к содержанию договора купли-продажи, представляемого для регистрации сделки.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 xml:space="preserve">Наличие разрешения органа опеки и попечительства является ограничением права и подлежит отражению в тексте договора. Договор об отчуждении жилого помещения, в котором проживают оставшиеся без родительского попечения несовершеннолетние члены семьи собственника или жилого помещения, принадлежащего </w:t>
      </w:r>
      <w:r w:rsidRPr="00C6798C">
        <w:rPr>
          <w:rFonts w:ascii="Segoe UI" w:hAnsi="Segoe UI" w:cs="Segoe UI"/>
          <w:i/>
          <w:sz w:val="28"/>
          <w:szCs w:val="20"/>
          <w:lang w:eastAsia="ru-RU"/>
        </w:rPr>
        <w:lastRenderedPageBreak/>
        <w:t xml:space="preserve">несовершеннолетнему, должен содержать подробное изложение условия постановления (распоряжения) органа опеки и попечительства.  Он (договор) будет считаться совершенным под условием только в том случае, если в тексте договора сторонами будет предусмотрено положение о том, что от факта исполнения (неисполнения) условия органа опеки и попечительства (например, об одновременном приобретении жилого помещения для несовершеннолетнего) зависит возникновение (прекращение) права собственности. В этом случае, стороны </w:t>
      </w:r>
      <w:r w:rsidRPr="00C6798C">
        <w:rPr>
          <w:rFonts w:ascii="Segoe UI" w:hAnsi="Segoe UI" w:cs="Segoe UI"/>
          <w:i/>
          <w:iCs/>
          <w:sz w:val="28"/>
          <w:szCs w:val="20"/>
          <w:lang w:eastAsia="ru-RU"/>
        </w:rPr>
        <w:t xml:space="preserve">сами </w:t>
      </w:r>
      <w:r w:rsidRPr="00C6798C">
        <w:rPr>
          <w:rFonts w:ascii="Segoe UI" w:hAnsi="Segoe UI" w:cs="Segoe UI"/>
          <w:i/>
          <w:sz w:val="28"/>
          <w:szCs w:val="20"/>
          <w:lang w:eastAsia="ru-RU"/>
        </w:rPr>
        <w:t>определяют в договоре порядок исполнения сделки, последствия неисполнения условия органов опеки и попечительства.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>Следовательно, государственная регистрация перехода права будет проведена при представления разрешения органа опеки и попечительства при наличии в договоре условия, обозначенного органом опеки и попечительства.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>Отсутствие указания в договоре на наличие условия органа опеки и попечительства может повлечь отказ в государственной регистрации.</w:t>
      </w:r>
    </w:p>
    <w:p w:rsidR="00FD19FC" w:rsidRPr="00C6798C" w:rsidRDefault="00FD19FC" w:rsidP="00FD19FC">
      <w:pPr>
        <w:spacing w:after="0"/>
        <w:ind w:firstLine="709"/>
        <w:jc w:val="both"/>
        <w:rPr>
          <w:rFonts w:ascii="Segoe UI" w:hAnsi="Segoe UI" w:cs="Segoe UI"/>
          <w:i/>
          <w:sz w:val="28"/>
          <w:szCs w:val="20"/>
          <w:lang w:eastAsia="ru-RU"/>
        </w:rPr>
      </w:pPr>
      <w:r w:rsidRPr="00C6798C">
        <w:rPr>
          <w:rFonts w:ascii="Segoe UI" w:hAnsi="Segoe UI" w:cs="Segoe UI"/>
          <w:i/>
          <w:sz w:val="28"/>
          <w:szCs w:val="20"/>
          <w:lang w:eastAsia="ru-RU"/>
        </w:rPr>
        <w:t>Однако, если в регистрирующий орган представлены документы о том, что условие органа опеки и попечительства уже выполнено, необходимость указания условий органа опеки и попечительства в тексте договора отпадает, поскольку заявители уже не ограничены определенными условиями.</w:t>
      </w:r>
    </w:p>
    <w:p w:rsidR="00F53282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D19FC" w:rsidRPr="00F468F6" w:rsidRDefault="00FD19FC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626840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4605" t="15240" r="11430" b="1333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M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FKxz&#10;N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="00F53282"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lastRenderedPageBreak/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53282" w:rsidRPr="001C08AE" w:rsidRDefault="00F53282" w:rsidP="00F53282">
      <w:pPr>
        <w:jc w:val="both"/>
      </w:pPr>
    </w:p>
    <w:p w:rsidR="00F53282" w:rsidRDefault="0062684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2782570</wp:posOffset>
                </wp:positionV>
                <wp:extent cx="6000750" cy="0"/>
                <wp:effectExtent l="13970" t="10795" r="1460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.6pt;margin-top:219.1pt;width:472.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LseWD/cAAAACgEAAA8AAAAAAAAAAAAAAAAApwQAAGRycy9kb3ducmV2LnhtbFBLBQYAAAAABAAE&#10;APMAAACwBQAAAAA=&#10;" strokecolor="#0070c0" strokeweight="1.25pt"/>
            </w:pict>
          </mc:Fallback>
        </mc:AlternateConten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03" w:rsidRDefault="002F5003" w:rsidP="005B79EB">
      <w:pPr>
        <w:spacing w:after="0" w:line="240" w:lineRule="auto"/>
      </w:pPr>
      <w:r>
        <w:separator/>
      </w:r>
    </w:p>
  </w:endnote>
  <w:endnote w:type="continuationSeparator" w:id="0">
    <w:p w:rsidR="002F5003" w:rsidRDefault="002F500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03" w:rsidRDefault="002F5003" w:rsidP="005B79EB">
      <w:pPr>
        <w:spacing w:after="0" w:line="240" w:lineRule="auto"/>
      </w:pPr>
      <w:r>
        <w:separator/>
      </w:r>
    </w:p>
  </w:footnote>
  <w:footnote w:type="continuationSeparator" w:id="0">
    <w:p w:rsidR="002F5003" w:rsidRDefault="002F500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B44AB"/>
    <w:rsid w:val="000C5F72"/>
    <w:rsid w:val="000E4269"/>
    <w:rsid w:val="001104C5"/>
    <w:rsid w:val="0011563B"/>
    <w:rsid w:val="001164AC"/>
    <w:rsid w:val="00126ACE"/>
    <w:rsid w:val="00147ACA"/>
    <w:rsid w:val="00150DCD"/>
    <w:rsid w:val="00153F2F"/>
    <w:rsid w:val="00177470"/>
    <w:rsid w:val="00190BA3"/>
    <w:rsid w:val="0019245E"/>
    <w:rsid w:val="001A0696"/>
    <w:rsid w:val="001B39A7"/>
    <w:rsid w:val="001C08AE"/>
    <w:rsid w:val="001C490F"/>
    <w:rsid w:val="002178E1"/>
    <w:rsid w:val="0023274A"/>
    <w:rsid w:val="00274888"/>
    <w:rsid w:val="0028288B"/>
    <w:rsid w:val="002B2541"/>
    <w:rsid w:val="002B58AA"/>
    <w:rsid w:val="002E785A"/>
    <w:rsid w:val="002F1823"/>
    <w:rsid w:val="002F5003"/>
    <w:rsid w:val="00302CEC"/>
    <w:rsid w:val="00302F09"/>
    <w:rsid w:val="00303302"/>
    <w:rsid w:val="00314222"/>
    <w:rsid w:val="00324C6E"/>
    <w:rsid w:val="003B16B3"/>
    <w:rsid w:val="003B7CE6"/>
    <w:rsid w:val="003C4A5D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5025A0"/>
    <w:rsid w:val="00522342"/>
    <w:rsid w:val="0052616E"/>
    <w:rsid w:val="00535FE0"/>
    <w:rsid w:val="00546D44"/>
    <w:rsid w:val="00562D97"/>
    <w:rsid w:val="00564F45"/>
    <w:rsid w:val="005911E4"/>
    <w:rsid w:val="00596CDC"/>
    <w:rsid w:val="005B79EB"/>
    <w:rsid w:val="005C4C19"/>
    <w:rsid w:val="005F3CF6"/>
    <w:rsid w:val="006142AE"/>
    <w:rsid w:val="00622B0B"/>
    <w:rsid w:val="00623544"/>
    <w:rsid w:val="006250C8"/>
    <w:rsid w:val="00626840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3314"/>
    <w:rsid w:val="007A77C3"/>
    <w:rsid w:val="007B271D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8F2DDC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15F77"/>
    <w:rsid w:val="00A2027F"/>
    <w:rsid w:val="00A23D1D"/>
    <w:rsid w:val="00A41BA7"/>
    <w:rsid w:val="00A5554C"/>
    <w:rsid w:val="00A568CF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B3A6E"/>
    <w:rsid w:val="00BC721B"/>
    <w:rsid w:val="00BD28EF"/>
    <w:rsid w:val="00BF2E13"/>
    <w:rsid w:val="00C24D6A"/>
    <w:rsid w:val="00C5475D"/>
    <w:rsid w:val="00C54EB4"/>
    <w:rsid w:val="00C57760"/>
    <w:rsid w:val="00C6798C"/>
    <w:rsid w:val="00C74E88"/>
    <w:rsid w:val="00C8505F"/>
    <w:rsid w:val="00CD59E3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0DD7"/>
    <w:rsid w:val="00D82E85"/>
    <w:rsid w:val="00D848DD"/>
    <w:rsid w:val="00E03971"/>
    <w:rsid w:val="00E20E3E"/>
    <w:rsid w:val="00E35C51"/>
    <w:rsid w:val="00E4023F"/>
    <w:rsid w:val="00E61BBD"/>
    <w:rsid w:val="00E70E3D"/>
    <w:rsid w:val="00E7588E"/>
    <w:rsid w:val="00E810D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468F6"/>
    <w:rsid w:val="00F53282"/>
    <w:rsid w:val="00F93D16"/>
    <w:rsid w:val="00FB19A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rosreestr5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3BC0-F981-4990-A728-E6184164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4071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2016-09-01T09:47:00Z</dcterms:created>
  <dcterms:modified xsi:type="dcterms:W3CDTF">2016-09-01T09:47:00Z</dcterms:modified>
</cp:coreProperties>
</file>