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778"/>
        <w:gridCol w:w="4219"/>
      </w:tblGrid>
      <w:tr w:rsidR="00C86FC2" w:rsidTr="00FC61F9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C86FC2" w:rsidRDefault="00C86FC2" w:rsidP="00793D44">
            <w:pPr>
              <w:pStyle w:val="Default"/>
              <w:jc w:val="right"/>
              <w:rPr>
                <w:sz w:val="28"/>
                <w:szCs w:val="28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C86FC2" w:rsidRDefault="00C86FC2" w:rsidP="00FC61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793D44" w:rsidRDefault="00793D44" w:rsidP="00FC61F9">
            <w:pPr>
              <w:pStyle w:val="Default"/>
              <w:rPr>
                <w:sz w:val="28"/>
                <w:szCs w:val="28"/>
              </w:rPr>
            </w:pPr>
          </w:p>
          <w:p w:rsidR="00C86FC2" w:rsidRDefault="00C86FC2" w:rsidP="00FC61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 </w:t>
            </w:r>
          </w:p>
          <w:p w:rsidR="00C86FC2" w:rsidRDefault="00C86FC2" w:rsidP="00FC61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C86FC2" w:rsidRDefault="00C86FC2" w:rsidP="00FC61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Суксунского</w:t>
            </w:r>
            <w:r w:rsidR="00793D44">
              <w:rPr>
                <w:sz w:val="28"/>
                <w:szCs w:val="28"/>
              </w:rPr>
              <w:t xml:space="preserve"> городского</w:t>
            </w:r>
            <w:r w:rsidR="00FC61F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округа Пермского края </w:t>
            </w:r>
          </w:p>
          <w:p w:rsidR="00C86FC2" w:rsidRPr="00691ECC" w:rsidRDefault="00C86FC2" w:rsidP="00FC61F9">
            <w:pPr>
              <w:pStyle w:val="a5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91ECC">
              <w:rPr>
                <w:rFonts w:ascii="Times New Roman" w:hAnsi="Times New Roman"/>
                <w:b w:val="0"/>
                <w:sz w:val="28"/>
                <w:szCs w:val="28"/>
              </w:rPr>
              <w:t xml:space="preserve">от </w:t>
            </w:r>
            <w:r w:rsidR="00205AE9">
              <w:rPr>
                <w:rFonts w:ascii="Times New Roman" w:hAnsi="Times New Roman"/>
                <w:b w:val="0"/>
                <w:sz w:val="28"/>
                <w:szCs w:val="28"/>
              </w:rPr>
              <w:t>06.06.2023 № 379</w:t>
            </w:r>
            <w:bookmarkStart w:id="0" w:name="_GoBack"/>
            <w:bookmarkEnd w:id="0"/>
          </w:p>
          <w:p w:rsidR="00C86FC2" w:rsidRDefault="00C86FC2" w:rsidP="00793D44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C86FC2" w:rsidRDefault="00C86FC2" w:rsidP="00C86FC2">
      <w:pPr>
        <w:pStyle w:val="Default"/>
        <w:jc w:val="right"/>
        <w:rPr>
          <w:sz w:val="28"/>
          <w:szCs w:val="28"/>
        </w:rPr>
      </w:pPr>
    </w:p>
    <w:p w:rsidR="00C86FC2" w:rsidRDefault="00C86FC2" w:rsidP="00C86FC2">
      <w:pPr>
        <w:pStyle w:val="Default"/>
        <w:jc w:val="center"/>
        <w:rPr>
          <w:sz w:val="28"/>
          <w:szCs w:val="28"/>
        </w:rPr>
      </w:pPr>
    </w:p>
    <w:p w:rsidR="00C86FC2" w:rsidRDefault="00C86FC2" w:rsidP="002565E9">
      <w:pPr>
        <w:pStyle w:val="Default"/>
        <w:jc w:val="center"/>
        <w:rPr>
          <w:b/>
          <w:sz w:val="28"/>
          <w:szCs w:val="28"/>
        </w:rPr>
      </w:pPr>
      <w:r w:rsidRPr="00C32370">
        <w:rPr>
          <w:b/>
          <w:sz w:val="28"/>
          <w:szCs w:val="28"/>
        </w:rPr>
        <w:t xml:space="preserve">Порядок </w:t>
      </w:r>
    </w:p>
    <w:p w:rsidR="00C86FC2" w:rsidRPr="00FF3C90" w:rsidRDefault="00C86FC2" w:rsidP="002565E9">
      <w:pPr>
        <w:pStyle w:val="a3"/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FF3C90">
        <w:rPr>
          <w:rStyle w:val="ab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осуществления </w:t>
      </w:r>
      <w:r>
        <w:rPr>
          <w:rStyle w:val="ab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Ф</w:t>
      </w:r>
      <w:r w:rsidRPr="00FF3C90">
        <w:rPr>
          <w:rStyle w:val="ab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инансовым управлением </w:t>
      </w:r>
      <w:r>
        <w:rPr>
          <w:rStyle w:val="ab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А</w:t>
      </w:r>
      <w:r w:rsidRPr="00FF3C90">
        <w:rPr>
          <w:rStyle w:val="ab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дминистрации С</w:t>
      </w:r>
      <w:r>
        <w:rPr>
          <w:rStyle w:val="ab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уксунского </w:t>
      </w:r>
      <w:r w:rsidRPr="00FF3C90">
        <w:rPr>
          <w:rStyle w:val="ab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городского округа казначейского сопровождения средств</w:t>
      </w:r>
    </w:p>
    <w:p w:rsidR="00C86FC2" w:rsidRDefault="00C86FC2" w:rsidP="00C86FC2">
      <w:pPr>
        <w:pStyle w:val="a3"/>
        <w:spacing w:after="0"/>
      </w:pPr>
    </w:p>
    <w:p w:rsidR="00C86FC2" w:rsidRPr="00FF3C90" w:rsidRDefault="00C86FC2" w:rsidP="002565E9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72727"/>
          <w:sz w:val="28"/>
          <w:szCs w:val="28"/>
        </w:rPr>
      </w:pPr>
      <w:r w:rsidRPr="00FF3C90">
        <w:rPr>
          <w:color w:val="272727"/>
          <w:sz w:val="28"/>
          <w:szCs w:val="28"/>
        </w:rPr>
        <w:t xml:space="preserve">1. Настоящий Порядок устанавливает общие требования осуществления </w:t>
      </w:r>
      <w:r>
        <w:rPr>
          <w:color w:val="272727"/>
          <w:sz w:val="28"/>
          <w:szCs w:val="28"/>
        </w:rPr>
        <w:t>Ф</w:t>
      </w:r>
      <w:r w:rsidRPr="00FF3C90">
        <w:rPr>
          <w:color w:val="272727"/>
          <w:sz w:val="28"/>
          <w:szCs w:val="28"/>
        </w:rPr>
        <w:t xml:space="preserve">инансовым управлением </w:t>
      </w:r>
      <w:r>
        <w:rPr>
          <w:color w:val="272727"/>
          <w:sz w:val="28"/>
          <w:szCs w:val="28"/>
        </w:rPr>
        <w:t>А</w:t>
      </w:r>
      <w:r w:rsidRPr="00FF3C90">
        <w:rPr>
          <w:color w:val="272727"/>
          <w:sz w:val="28"/>
          <w:szCs w:val="28"/>
        </w:rPr>
        <w:t>дминистрации С</w:t>
      </w:r>
      <w:r>
        <w:rPr>
          <w:color w:val="272727"/>
          <w:sz w:val="28"/>
          <w:szCs w:val="28"/>
        </w:rPr>
        <w:t xml:space="preserve">уксунского </w:t>
      </w:r>
      <w:r w:rsidRPr="00FF3C90">
        <w:rPr>
          <w:color w:val="272727"/>
          <w:sz w:val="28"/>
          <w:szCs w:val="28"/>
        </w:rPr>
        <w:t xml:space="preserve">городского округа казначейского сопровождения средств (далее – Порядок), определенных решением Думы </w:t>
      </w:r>
      <w:r>
        <w:rPr>
          <w:color w:val="272727"/>
          <w:sz w:val="28"/>
          <w:szCs w:val="28"/>
        </w:rPr>
        <w:t xml:space="preserve">Суксунского </w:t>
      </w:r>
      <w:r w:rsidRPr="00FF3C90">
        <w:rPr>
          <w:color w:val="272727"/>
          <w:sz w:val="28"/>
          <w:szCs w:val="28"/>
        </w:rPr>
        <w:t>городского округа о бюджете С</w:t>
      </w:r>
      <w:r>
        <w:rPr>
          <w:color w:val="272727"/>
          <w:sz w:val="28"/>
          <w:szCs w:val="28"/>
        </w:rPr>
        <w:t>уксунског</w:t>
      </w:r>
      <w:r w:rsidRPr="00FF3C90">
        <w:rPr>
          <w:color w:val="272727"/>
          <w:sz w:val="28"/>
          <w:szCs w:val="28"/>
        </w:rPr>
        <w:t>о городского округа на текущий год и плановый период в соответствии с подпунктом 1 пункта 1 статьи 242.26 Бюджетного кодекса Российской Федерации и иных средств, определенных федеральными законами, решениями Правительства Российской Федерации в случаях, предусмотренных подпунктом 2 пункта 1 статьи 242.26 Бюджетного кодекса Российской Федерации (далее – целевые средства).</w:t>
      </w:r>
    </w:p>
    <w:p w:rsidR="00C86FC2" w:rsidRPr="00FF3C90" w:rsidRDefault="00C86FC2" w:rsidP="002565E9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72727"/>
          <w:sz w:val="28"/>
          <w:szCs w:val="28"/>
        </w:rPr>
      </w:pPr>
      <w:r w:rsidRPr="00FF3C90">
        <w:rPr>
          <w:color w:val="272727"/>
          <w:sz w:val="28"/>
          <w:szCs w:val="28"/>
        </w:rPr>
        <w:t>Положения настоящего Порядка, установленные для юридических лиц, индивидуальных предпринимателей, физических лиц – производителей товаров, работ, услуг (далее – участники казначейского сопровождения), распространяются также на обособленные (структурные) подразделения юридических лиц при предоставлении им целевых средств.</w:t>
      </w:r>
    </w:p>
    <w:p w:rsidR="00C86FC2" w:rsidRPr="00FF3C90" w:rsidRDefault="00C86FC2" w:rsidP="002565E9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72727"/>
          <w:sz w:val="28"/>
          <w:szCs w:val="28"/>
        </w:rPr>
      </w:pPr>
      <w:r w:rsidRPr="00FF3C90">
        <w:rPr>
          <w:color w:val="272727"/>
          <w:sz w:val="28"/>
          <w:szCs w:val="28"/>
        </w:rPr>
        <w:t>2. Казначейское сопровождение осуществляется в отношении целевых средств, предоставляемых на основании:</w:t>
      </w:r>
    </w:p>
    <w:p w:rsidR="00C86FC2" w:rsidRPr="00FF3C90" w:rsidRDefault="00C86FC2" w:rsidP="002565E9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72727"/>
          <w:sz w:val="28"/>
          <w:szCs w:val="28"/>
        </w:rPr>
      </w:pPr>
      <w:r w:rsidRPr="00FF3C90">
        <w:rPr>
          <w:color w:val="272727"/>
          <w:sz w:val="28"/>
          <w:szCs w:val="28"/>
        </w:rPr>
        <w:t>2.1. муниципальных контрактов о поставке товаров, выполнении работ, оказании услуг (далее – муниципальный контракт);</w:t>
      </w:r>
    </w:p>
    <w:p w:rsidR="00C86FC2" w:rsidRPr="00FF3C90" w:rsidRDefault="00C86FC2" w:rsidP="002565E9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72727"/>
          <w:sz w:val="28"/>
          <w:szCs w:val="28"/>
        </w:rPr>
      </w:pPr>
      <w:r w:rsidRPr="00FF3C90">
        <w:rPr>
          <w:color w:val="272727"/>
          <w:sz w:val="28"/>
          <w:szCs w:val="28"/>
        </w:rPr>
        <w:t>2.2. контрактов (договоров) о поставке товаров, выполнении работ, оказании услуг, заключаемых муниципальными бюджетными или автономными учреждениями (далее – контракт (договор) учреждения);</w:t>
      </w:r>
    </w:p>
    <w:p w:rsidR="00C86FC2" w:rsidRPr="00FF3C90" w:rsidRDefault="00C86FC2" w:rsidP="002565E9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72727"/>
          <w:sz w:val="28"/>
          <w:szCs w:val="28"/>
        </w:rPr>
      </w:pPr>
      <w:r w:rsidRPr="00FF3C90">
        <w:rPr>
          <w:color w:val="272727"/>
          <w:sz w:val="28"/>
          <w:szCs w:val="28"/>
        </w:rPr>
        <w:t>2.3. договоров (соглашений) о предоставлении субсидий, договоров о предоставлении бюджетных инвестиций в соответствии со статьей 80 Бюджетного кодекса Российской Федерации,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обеспечения исполнения которых являются указанные субсидии и бюджетные инвестиции (далее – договор (соглашение);</w:t>
      </w:r>
    </w:p>
    <w:p w:rsidR="00C86FC2" w:rsidRPr="00FF3C90" w:rsidRDefault="00C86FC2" w:rsidP="002565E9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72727"/>
          <w:sz w:val="28"/>
          <w:szCs w:val="28"/>
        </w:rPr>
      </w:pPr>
      <w:r w:rsidRPr="00FF3C90">
        <w:rPr>
          <w:color w:val="272727"/>
          <w:sz w:val="28"/>
          <w:szCs w:val="28"/>
        </w:rPr>
        <w:lastRenderedPageBreak/>
        <w:t>2.4. контрактов (договоров) о поставке товаров, выполнении работ, оказании услуг, источником финансового обеспечения исполнения обязательств по которым являются средства, предоставленные в рамках исполнения муниципальных контрактов, контрактов учреждений, договоров (соглашений) (далее – контракт (договор).</w:t>
      </w:r>
    </w:p>
    <w:p w:rsidR="000142CB" w:rsidRDefault="00C86FC2" w:rsidP="002565E9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28"/>
          <w:szCs w:val="28"/>
          <w:shd w:val="clear" w:color="auto" w:fill="FFFFFF"/>
        </w:rPr>
      </w:pPr>
      <w:r w:rsidRPr="00FF3C90">
        <w:rPr>
          <w:color w:val="272727"/>
          <w:sz w:val="28"/>
          <w:szCs w:val="28"/>
        </w:rPr>
        <w:t xml:space="preserve">3. </w:t>
      </w:r>
      <w:r w:rsidR="00CB24A6" w:rsidRPr="00CB24A6">
        <w:rPr>
          <w:color w:val="333333"/>
          <w:sz w:val="28"/>
          <w:szCs w:val="28"/>
          <w:shd w:val="clear" w:color="auto" w:fill="FFFFFF"/>
        </w:rPr>
        <w:t xml:space="preserve">Операции с целевыми средствами </w:t>
      </w:r>
      <w:r w:rsidR="008F0621">
        <w:rPr>
          <w:color w:val="333333"/>
          <w:sz w:val="28"/>
          <w:szCs w:val="28"/>
          <w:shd w:val="clear" w:color="auto" w:fill="FFFFFF"/>
        </w:rPr>
        <w:t>осуществляются на казначейском счете, п</w:t>
      </w:r>
      <w:r w:rsidR="00CB24A6" w:rsidRPr="00CB24A6">
        <w:rPr>
          <w:sz w:val="28"/>
          <w:szCs w:val="28"/>
          <w:shd w:val="clear" w:color="auto" w:fill="FFFFFF"/>
        </w:rPr>
        <w:t>редусмотренном подпунктом 6</w:t>
      </w:r>
      <w:r w:rsidR="00CB24A6">
        <w:rPr>
          <w:sz w:val="28"/>
          <w:szCs w:val="28"/>
          <w:shd w:val="clear" w:color="auto" w:fill="FFFFFF"/>
        </w:rPr>
        <w:t>.</w:t>
      </w:r>
      <w:r w:rsidR="00CB24A6" w:rsidRPr="00CB24A6">
        <w:rPr>
          <w:rStyle w:val="w9"/>
          <w:sz w:val="28"/>
          <w:szCs w:val="28"/>
          <w:shd w:val="clear" w:color="auto" w:fill="FFFFFF"/>
        </w:rPr>
        <w:t>1</w:t>
      </w:r>
      <w:r w:rsidR="00CB24A6" w:rsidRPr="00CB24A6">
        <w:rPr>
          <w:sz w:val="28"/>
          <w:szCs w:val="28"/>
          <w:shd w:val="clear" w:color="auto" w:fill="FFFFFF"/>
        </w:rPr>
        <w:t> пункта 1 статьи 242</w:t>
      </w:r>
      <w:r w:rsidR="00CB24A6">
        <w:rPr>
          <w:sz w:val="28"/>
          <w:szCs w:val="28"/>
          <w:shd w:val="clear" w:color="auto" w:fill="FFFFFF"/>
        </w:rPr>
        <w:t>.</w:t>
      </w:r>
      <w:r w:rsidR="00CB24A6" w:rsidRPr="00CB24A6">
        <w:rPr>
          <w:rStyle w:val="w9"/>
          <w:sz w:val="28"/>
          <w:szCs w:val="28"/>
          <w:shd w:val="clear" w:color="auto" w:fill="FFFFFF"/>
        </w:rPr>
        <w:t>14</w:t>
      </w:r>
      <w:r w:rsidR="00CB24A6" w:rsidRPr="00CB24A6">
        <w:rPr>
          <w:sz w:val="28"/>
          <w:szCs w:val="28"/>
          <w:shd w:val="clear" w:color="auto" w:fill="FFFFFF"/>
        </w:rPr>
        <w:t> </w:t>
      </w:r>
      <w:hyperlink r:id="rId6" w:tgtFrame="contents" w:history="1">
        <w:r w:rsidR="00CB24A6" w:rsidRPr="00CB24A6">
          <w:rPr>
            <w:rStyle w:val="cmd"/>
            <w:sz w:val="28"/>
            <w:szCs w:val="28"/>
            <w:shd w:val="clear" w:color="auto" w:fill="FFFFFF"/>
          </w:rPr>
          <w:t>Бюджетного кодекса Российской Федерации</w:t>
        </w:r>
      </w:hyperlink>
      <w:r w:rsidR="00CB24A6" w:rsidRPr="00CB24A6">
        <w:rPr>
          <w:sz w:val="28"/>
          <w:szCs w:val="28"/>
          <w:shd w:val="clear" w:color="auto" w:fill="FFFFFF"/>
        </w:rPr>
        <w:t>,</w:t>
      </w:r>
      <w:r w:rsidR="008F0621">
        <w:rPr>
          <w:sz w:val="28"/>
          <w:szCs w:val="28"/>
          <w:shd w:val="clear" w:color="auto" w:fill="FFFFFF"/>
        </w:rPr>
        <w:t xml:space="preserve"> открытом </w:t>
      </w:r>
      <w:r w:rsidR="00AA6325">
        <w:rPr>
          <w:sz w:val="28"/>
          <w:szCs w:val="28"/>
          <w:shd w:val="clear" w:color="auto" w:fill="FFFFFF"/>
        </w:rPr>
        <w:t>Ф</w:t>
      </w:r>
      <w:r w:rsidR="008F0621">
        <w:rPr>
          <w:sz w:val="28"/>
          <w:szCs w:val="28"/>
          <w:shd w:val="clear" w:color="auto" w:fill="FFFFFF"/>
        </w:rPr>
        <w:t>инансовому управлению Администрации Суксун</w:t>
      </w:r>
      <w:r w:rsidR="00AA6325">
        <w:rPr>
          <w:sz w:val="28"/>
          <w:szCs w:val="28"/>
          <w:shd w:val="clear" w:color="auto" w:fill="FFFFFF"/>
        </w:rPr>
        <w:t>ского городского округа (далее</w:t>
      </w:r>
      <w:r w:rsidR="00846705">
        <w:rPr>
          <w:sz w:val="28"/>
          <w:szCs w:val="28"/>
          <w:shd w:val="clear" w:color="auto" w:fill="FFFFFF"/>
        </w:rPr>
        <w:t xml:space="preserve"> -</w:t>
      </w:r>
      <w:r w:rsidR="00AA6325">
        <w:rPr>
          <w:sz w:val="28"/>
          <w:szCs w:val="28"/>
          <w:shd w:val="clear" w:color="auto" w:fill="FFFFFF"/>
        </w:rPr>
        <w:t xml:space="preserve"> Ф</w:t>
      </w:r>
      <w:r w:rsidR="008F0621">
        <w:rPr>
          <w:sz w:val="28"/>
          <w:szCs w:val="28"/>
          <w:shd w:val="clear" w:color="auto" w:fill="FFFFFF"/>
        </w:rPr>
        <w:t xml:space="preserve">инансовое управление) в </w:t>
      </w:r>
      <w:r w:rsidR="00CB24A6">
        <w:rPr>
          <w:sz w:val="28"/>
          <w:szCs w:val="28"/>
          <w:shd w:val="clear" w:color="auto" w:fill="FFFFFF"/>
        </w:rPr>
        <w:t xml:space="preserve">Управлении </w:t>
      </w:r>
      <w:r w:rsidR="00CB24A6" w:rsidRPr="00CB24A6">
        <w:rPr>
          <w:sz w:val="28"/>
          <w:szCs w:val="28"/>
          <w:shd w:val="clear" w:color="auto" w:fill="FFFFFF"/>
        </w:rPr>
        <w:t>Федерального казначейства</w:t>
      </w:r>
      <w:r w:rsidR="008F0621">
        <w:rPr>
          <w:sz w:val="28"/>
          <w:szCs w:val="28"/>
          <w:shd w:val="clear" w:color="auto" w:fill="FFFFFF"/>
        </w:rPr>
        <w:t xml:space="preserve"> по Пермскому краю, и отражаются на открываемом в </w:t>
      </w:r>
      <w:r w:rsidR="00AA6325">
        <w:rPr>
          <w:sz w:val="28"/>
          <w:szCs w:val="28"/>
          <w:shd w:val="clear" w:color="auto" w:fill="FFFFFF"/>
        </w:rPr>
        <w:t>Ф</w:t>
      </w:r>
      <w:r w:rsidR="008F0621">
        <w:rPr>
          <w:sz w:val="28"/>
          <w:szCs w:val="28"/>
          <w:shd w:val="clear" w:color="auto" w:fill="FFFFFF"/>
        </w:rPr>
        <w:t xml:space="preserve">инансовом управлении </w:t>
      </w:r>
      <w:r w:rsidR="00A76668">
        <w:rPr>
          <w:sz w:val="28"/>
          <w:szCs w:val="28"/>
          <w:shd w:val="clear" w:color="auto" w:fill="FFFFFF"/>
        </w:rPr>
        <w:t>лицевом счете участника казначейского сопровождения,</w:t>
      </w:r>
      <w:r w:rsidR="00846705">
        <w:rPr>
          <w:sz w:val="28"/>
          <w:szCs w:val="28"/>
          <w:shd w:val="clear" w:color="auto" w:fill="FFFFFF"/>
        </w:rPr>
        <w:t xml:space="preserve"> </w:t>
      </w:r>
      <w:r w:rsidR="00CB24A6" w:rsidRPr="00CB24A6">
        <w:rPr>
          <w:sz w:val="28"/>
          <w:szCs w:val="28"/>
          <w:shd w:val="clear" w:color="auto" w:fill="FFFFFF"/>
        </w:rPr>
        <w:t>определенном</w:t>
      </w:r>
      <w:r w:rsidR="00846705">
        <w:rPr>
          <w:sz w:val="28"/>
          <w:szCs w:val="28"/>
          <w:shd w:val="clear" w:color="auto" w:fill="FFFFFF"/>
        </w:rPr>
        <w:t xml:space="preserve"> пу</w:t>
      </w:r>
      <w:r w:rsidR="00CB24A6" w:rsidRPr="00CB24A6">
        <w:rPr>
          <w:sz w:val="28"/>
          <w:szCs w:val="28"/>
          <w:shd w:val="clear" w:color="auto" w:fill="FFFFFF"/>
        </w:rPr>
        <w:t>нктом</w:t>
      </w:r>
      <w:r w:rsidR="00846705">
        <w:rPr>
          <w:sz w:val="28"/>
          <w:szCs w:val="28"/>
          <w:shd w:val="clear" w:color="auto" w:fill="FFFFFF"/>
        </w:rPr>
        <w:t xml:space="preserve"> 7.1 статьи 220.1 </w:t>
      </w:r>
      <w:hyperlink r:id="rId7" w:tgtFrame="contents" w:history="1">
        <w:r w:rsidR="00CB24A6" w:rsidRPr="00CB24A6">
          <w:rPr>
            <w:rStyle w:val="cmd"/>
            <w:sz w:val="28"/>
            <w:szCs w:val="28"/>
            <w:shd w:val="clear" w:color="auto" w:fill="FFFFFF"/>
          </w:rPr>
          <w:t>Бюджетного кодекса Российской Федерации</w:t>
        </w:r>
      </w:hyperlink>
      <w:r w:rsidR="00CB24A6" w:rsidRPr="00CB24A6">
        <w:rPr>
          <w:sz w:val="28"/>
          <w:szCs w:val="28"/>
          <w:shd w:val="clear" w:color="auto" w:fill="FFFFFF"/>
        </w:rPr>
        <w:t> (далее</w:t>
      </w:r>
      <w:r w:rsidR="00CB24A6" w:rsidRPr="00CB24A6">
        <w:rPr>
          <w:color w:val="333333"/>
          <w:sz w:val="28"/>
          <w:szCs w:val="28"/>
          <w:shd w:val="clear" w:color="auto" w:fill="FFFFFF"/>
        </w:rPr>
        <w:t> - лицевой счет).</w:t>
      </w:r>
      <w:r w:rsidR="000142CB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C86FC2" w:rsidRDefault="00C86FC2" w:rsidP="002565E9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72727"/>
          <w:sz w:val="28"/>
          <w:szCs w:val="28"/>
        </w:rPr>
      </w:pPr>
      <w:r w:rsidRPr="00FF3C90">
        <w:rPr>
          <w:color w:val="272727"/>
          <w:sz w:val="28"/>
          <w:szCs w:val="28"/>
        </w:rPr>
        <w:t xml:space="preserve">4. Ведение </w:t>
      </w:r>
      <w:r w:rsidR="00AA6325">
        <w:rPr>
          <w:color w:val="272727"/>
          <w:sz w:val="28"/>
          <w:szCs w:val="28"/>
        </w:rPr>
        <w:t>Ф</w:t>
      </w:r>
      <w:r w:rsidRPr="00FF3C90">
        <w:rPr>
          <w:color w:val="272727"/>
          <w:sz w:val="28"/>
          <w:szCs w:val="28"/>
        </w:rPr>
        <w:t>инансовым управлением и использование участниками казначейского сопровождения лицевого счета (режим лицевого счета) осуществляется с соблюдением условий, указанных в пункте 3 статьи 242.23 Бюджетного кодекса Российской Федерации.</w:t>
      </w:r>
    </w:p>
    <w:p w:rsidR="00C86FC2" w:rsidRPr="00FF3C90" w:rsidRDefault="00C86FC2" w:rsidP="002565E9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72727"/>
          <w:sz w:val="28"/>
          <w:szCs w:val="28"/>
        </w:rPr>
      </w:pPr>
      <w:r w:rsidRPr="00FF3C90">
        <w:rPr>
          <w:color w:val="272727"/>
          <w:sz w:val="28"/>
          <w:szCs w:val="28"/>
        </w:rPr>
        <w:t>5. Проведение бюджетного мониторинга при открытии лицевых счетов и осуществлении операций на указанных лицевых счетах осуществляется Управлением Федерального казначейства по Пермскому краю в порядке, установленном Правительством Российской Федерации в соответствии со статьей 242.13-1 Бюджетного кодекса Российской Федерации.</w:t>
      </w:r>
    </w:p>
    <w:p w:rsidR="00C86FC2" w:rsidRPr="00FF3C90" w:rsidRDefault="00C86FC2" w:rsidP="002565E9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72727"/>
          <w:sz w:val="28"/>
          <w:szCs w:val="28"/>
        </w:rPr>
      </w:pPr>
      <w:r w:rsidRPr="00FF3C90">
        <w:rPr>
          <w:color w:val="272727"/>
          <w:sz w:val="28"/>
          <w:szCs w:val="28"/>
        </w:rPr>
        <w:t xml:space="preserve">6. Операции с целевыми средствами, отраженными на лицевых счетах, проводятся после осуществления </w:t>
      </w:r>
      <w:r w:rsidR="00AA6325">
        <w:rPr>
          <w:color w:val="272727"/>
          <w:sz w:val="28"/>
          <w:szCs w:val="28"/>
        </w:rPr>
        <w:t>Ф</w:t>
      </w:r>
      <w:r w:rsidRPr="00FF3C90">
        <w:rPr>
          <w:color w:val="272727"/>
          <w:sz w:val="28"/>
          <w:szCs w:val="28"/>
        </w:rPr>
        <w:t xml:space="preserve">инансовым управлением санкционирования операций с целевыми средствами участников казначейского сопровождения в </w:t>
      </w:r>
      <w:r w:rsidRPr="00AE31A6">
        <w:rPr>
          <w:color w:val="272727"/>
          <w:sz w:val="28"/>
          <w:szCs w:val="28"/>
        </w:rPr>
        <w:t xml:space="preserve">установленном им </w:t>
      </w:r>
      <w:r w:rsidR="00435090">
        <w:rPr>
          <w:color w:val="272727"/>
          <w:sz w:val="28"/>
          <w:szCs w:val="28"/>
        </w:rPr>
        <w:t>П</w:t>
      </w:r>
      <w:r w:rsidRPr="00AE31A6">
        <w:rPr>
          <w:color w:val="272727"/>
          <w:sz w:val="28"/>
          <w:szCs w:val="28"/>
        </w:rPr>
        <w:t xml:space="preserve">орядке санкционирования </w:t>
      </w:r>
      <w:r>
        <w:rPr>
          <w:color w:val="272727"/>
          <w:sz w:val="28"/>
          <w:szCs w:val="28"/>
        </w:rPr>
        <w:t>расходов муниципальных бюджетных и автономных учреждений,</w:t>
      </w:r>
      <w:r w:rsidRPr="00AE31A6">
        <w:rPr>
          <w:color w:val="272727"/>
          <w:sz w:val="28"/>
          <w:szCs w:val="28"/>
        </w:rPr>
        <w:t xml:space="preserve"> утвержденного приказом </w:t>
      </w:r>
      <w:r w:rsidR="00CB24A6">
        <w:rPr>
          <w:color w:val="272727"/>
          <w:sz w:val="28"/>
          <w:szCs w:val="28"/>
        </w:rPr>
        <w:t>Ф</w:t>
      </w:r>
      <w:r w:rsidRPr="00AE31A6">
        <w:rPr>
          <w:color w:val="272727"/>
          <w:sz w:val="28"/>
          <w:szCs w:val="28"/>
        </w:rPr>
        <w:t>инансового управления</w:t>
      </w:r>
      <w:r w:rsidR="00CB24A6">
        <w:rPr>
          <w:color w:val="272727"/>
          <w:sz w:val="28"/>
          <w:szCs w:val="28"/>
        </w:rPr>
        <w:t xml:space="preserve"> Администрации Суксунского городского округа </w:t>
      </w:r>
      <w:r w:rsidRPr="00AE31A6">
        <w:rPr>
          <w:color w:val="272727"/>
          <w:sz w:val="28"/>
          <w:szCs w:val="28"/>
        </w:rPr>
        <w:t xml:space="preserve">от </w:t>
      </w:r>
      <w:r>
        <w:rPr>
          <w:color w:val="272727"/>
          <w:sz w:val="28"/>
          <w:szCs w:val="28"/>
        </w:rPr>
        <w:t>09.01.2020</w:t>
      </w:r>
      <w:r w:rsidRPr="00AE31A6">
        <w:rPr>
          <w:color w:val="272727"/>
          <w:sz w:val="28"/>
          <w:szCs w:val="28"/>
        </w:rPr>
        <w:t xml:space="preserve"> № </w:t>
      </w:r>
      <w:r>
        <w:rPr>
          <w:color w:val="272727"/>
          <w:sz w:val="28"/>
          <w:szCs w:val="28"/>
        </w:rPr>
        <w:t xml:space="preserve">13 </w:t>
      </w:r>
      <w:r w:rsidR="00CB24A6">
        <w:rPr>
          <w:color w:val="272727"/>
          <w:sz w:val="28"/>
          <w:szCs w:val="28"/>
        </w:rPr>
        <w:t>«</w:t>
      </w:r>
      <w:r>
        <w:rPr>
          <w:color w:val="272727"/>
          <w:sz w:val="28"/>
          <w:szCs w:val="28"/>
        </w:rPr>
        <w:t>Порядок санкционирования расходов муниципальных бюджетных и автономных учреждений Суксунского городского округа, источником финансового обеспечения, которых являются средства, полученные в соответствии с абзацем вторым пункта 1 статья 78.1 и пунктом 1 статьи 78.2 Бюджетного кодекса Российской Федерации</w:t>
      </w:r>
      <w:r w:rsidR="00CB24A6">
        <w:rPr>
          <w:color w:val="272727"/>
          <w:sz w:val="28"/>
          <w:szCs w:val="28"/>
        </w:rPr>
        <w:t>»</w:t>
      </w:r>
      <w:r w:rsidRPr="00AE31A6">
        <w:rPr>
          <w:color w:val="272727"/>
          <w:sz w:val="28"/>
          <w:szCs w:val="28"/>
        </w:rPr>
        <w:t xml:space="preserve"> (далее – порядок</w:t>
      </w:r>
      <w:r>
        <w:rPr>
          <w:color w:val="272727"/>
          <w:sz w:val="28"/>
          <w:szCs w:val="28"/>
        </w:rPr>
        <w:t xml:space="preserve"> </w:t>
      </w:r>
      <w:r w:rsidRPr="00FF3C90">
        <w:rPr>
          <w:color w:val="272727"/>
          <w:sz w:val="28"/>
          <w:szCs w:val="28"/>
        </w:rPr>
        <w:t>санкционирования</w:t>
      </w:r>
      <w:r w:rsidRPr="00AE31A6">
        <w:rPr>
          <w:color w:val="272727"/>
          <w:sz w:val="28"/>
          <w:szCs w:val="28"/>
        </w:rPr>
        <w:t>) и</w:t>
      </w:r>
      <w:r w:rsidRPr="00FF3C90">
        <w:rPr>
          <w:color w:val="272727"/>
          <w:sz w:val="28"/>
          <w:szCs w:val="28"/>
        </w:rPr>
        <w:t xml:space="preserve"> проверки представленных документов, установленных порядком санкционирования, подтверждающих возникновение денежных обязательств участника казначейского сопровождения (далее – документы-основания).</w:t>
      </w:r>
    </w:p>
    <w:p w:rsidR="00C86FC2" w:rsidRPr="00FF3C90" w:rsidRDefault="00C86FC2" w:rsidP="002565E9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72727"/>
          <w:sz w:val="28"/>
          <w:szCs w:val="28"/>
        </w:rPr>
      </w:pPr>
      <w:r w:rsidRPr="00FF3C90">
        <w:rPr>
          <w:color w:val="272727"/>
          <w:sz w:val="28"/>
          <w:szCs w:val="28"/>
        </w:rPr>
        <w:t xml:space="preserve">Санкционирование расходов при казначейском сопровождении целевых средств осуществляется в соответствии с представляемыми участниками казначейского сопровождения в </w:t>
      </w:r>
      <w:r w:rsidR="00AA6325">
        <w:rPr>
          <w:color w:val="272727"/>
          <w:sz w:val="28"/>
          <w:szCs w:val="28"/>
        </w:rPr>
        <w:t>Ф</w:t>
      </w:r>
      <w:r w:rsidRPr="00FF3C90">
        <w:rPr>
          <w:color w:val="272727"/>
          <w:sz w:val="28"/>
          <w:szCs w:val="28"/>
        </w:rPr>
        <w:t>инансовое управление сведениями об операциях с целевыми средствами, сформированными и утвержденными в порядке, установленными финансовым управлением.</w:t>
      </w:r>
    </w:p>
    <w:p w:rsidR="00C86FC2" w:rsidRDefault="00C86FC2" w:rsidP="002565E9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72727"/>
          <w:sz w:val="28"/>
          <w:szCs w:val="28"/>
        </w:rPr>
      </w:pPr>
      <w:r w:rsidRPr="00FF3C90">
        <w:rPr>
          <w:color w:val="272727"/>
          <w:sz w:val="28"/>
          <w:szCs w:val="28"/>
        </w:rPr>
        <w:lastRenderedPageBreak/>
        <w:t>7. При казначейском сопровождении целевых средств в муниципальные контракты, контракты учреждения, договоры (соглашения), контракты (договоры) включаются следующие условия об (о):</w:t>
      </w:r>
    </w:p>
    <w:p w:rsidR="00D97D33" w:rsidRPr="00D97D33" w:rsidRDefault="00D97D33" w:rsidP="00D97D33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72727"/>
          <w:sz w:val="28"/>
          <w:szCs w:val="28"/>
        </w:rPr>
      </w:pPr>
      <w:r>
        <w:rPr>
          <w:color w:val="272727"/>
          <w:sz w:val="28"/>
          <w:szCs w:val="28"/>
        </w:rPr>
        <w:t>7.</w:t>
      </w:r>
      <w:r w:rsidRPr="00D97D33">
        <w:rPr>
          <w:color w:val="272727"/>
          <w:sz w:val="28"/>
          <w:szCs w:val="28"/>
        </w:rPr>
        <w:t xml:space="preserve">1. открытии участнику казначейского сопровождения лицевого счета в </w:t>
      </w:r>
      <w:r w:rsidR="00AA6325">
        <w:rPr>
          <w:color w:val="272727"/>
          <w:sz w:val="28"/>
          <w:szCs w:val="28"/>
        </w:rPr>
        <w:t>Ф</w:t>
      </w:r>
      <w:r w:rsidRPr="00D97D33">
        <w:rPr>
          <w:color w:val="272727"/>
          <w:sz w:val="28"/>
          <w:szCs w:val="28"/>
        </w:rPr>
        <w:t xml:space="preserve">инансовом управлении в </w:t>
      </w:r>
      <w:r>
        <w:rPr>
          <w:color w:val="272727"/>
          <w:sz w:val="28"/>
          <w:szCs w:val="28"/>
        </w:rPr>
        <w:t xml:space="preserve">соответствии с </w:t>
      </w:r>
      <w:r w:rsidR="00C36694">
        <w:rPr>
          <w:color w:val="272727"/>
          <w:sz w:val="28"/>
          <w:szCs w:val="28"/>
        </w:rPr>
        <w:t>П</w:t>
      </w:r>
      <w:r>
        <w:rPr>
          <w:color w:val="272727"/>
          <w:sz w:val="28"/>
          <w:szCs w:val="28"/>
        </w:rPr>
        <w:t xml:space="preserve">орядком </w:t>
      </w:r>
      <w:r w:rsidR="00395973">
        <w:rPr>
          <w:color w:val="272727"/>
          <w:sz w:val="28"/>
          <w:szCs w:val="28"/>
        </w:rPr>
        <w:t>о</w:t>
      </w:r>
      <w:r>
        <w:rPr>
          <w:color w:val="272727"/>
          <w:sz w:val="28"/>
          <w:szCs w:val="28"/>
        </w:rPr>
        <w:t>ткрыти</w:t>
      </w:r>
      <w:r w:rsidR="00395973">
        <w:rPr>
          <w:color w:val="272727"/>
          <w:sz w:val="28"/>
          <w:szCs w:val="28"/>
        </w:rPr>
        <w:t>я и ведения</w:t>
      </w:r>
      <w:r w:rsidR="00C36694">
        <w:rPr>
          <w:color w:val="272727"/>
          <w:sz w:val="28"/>
          <w:szCs w:val="28"/>
        </w:rPr>
        <w:t xml:space="preserve"> лицевых счетов в Ф</w:t>
      </w:r>
      <w:r>
        <w:rPr>
          <w:color w:val="272727"/>
          <w:sz w:val="28"/>
          <w:szCs w:val="28"/>
        </w:rPr>
        <w:t>инансов</w:t>
      </w:r>
      <w:r w:rsidR="00C36694">
        <w:rPr>
          <w:color w:val="272727"/>
          <w:sz w:val="28"/>
          <w:szCs w:val="28"/>
        </w:rPr>
        <w:t xml:space="preserve">ом </w:t>
      </w:r>
      <w:r>
        <w:rPr>
          <w:color w:val="272727"/>
          <w:sz w:val="28"/>
          <w:szCs w:val="28"/>
        </w:rPr>
        <w:t>управлени</w:t>
      </w:r>
      <w:r w:rsidR="00C36694">
        <w:rPr>
          <w:color w:val="272727"/>
          <w:sz w:val="28"/>
          <w:szCs w:val="28"/>
        </w:rPr>
        <w:t>и Администрации Суксунского городского округа Пермского края</w:t>
      </w:r>
      <w:r w:rsidR="00163275">
        <w:rPr>
          <w:color w:val="272727"/>
          <w:sz w:val="28"/>
          <w:szCs w:val="28"/>
        </w:rPr>
        <w:t>, утвержденн</w:t>
      </w:r>
      <w:r w:rsidR="00395973">
        <w:rPr>
          <w:color w:val="272727"/>
          <w:sz w:val="28"/>
          <w:szCs w:val="28"/>
        </w:rPr>
        <w:t xml:space="preserve">ым </w:t>
      </w:r>
      <w:r w:rsidR="00163275">
        <w:rPr>
          <w:color w:val="272727"/>
          <w:sz w:val="28"/>
          <w:szCs w:val="28"/>
        </w:rPr>
        <w:t>Приказом Финансового управления</w:t>
      </w:r>
      <w:r w:rsidR="00C36694">
        <w:rPr>
          <w:color w:val="272727"/>
          <w:sz w:val="28"/>
          <w:szCs w:val="28"/>
        </w:rPr>
        <w:t xml:space="preserve"> </w:t>
      </w:r>
      <w:r w:rsidR="00163275">
        <w:rPr>
          <w:color w:val="272727"/>
          <w:sz w:val="28"/>
          <w:szCs w:val="28"/>
        </w:rPr>
        <w:t>от 0</w:t>
      </w:r>
      <w:r w:rsidR="00C36694">
        <w:rPr>
          <w:color w:val="272727"/>
          <w:sz w:val="28"/>
          <w:szCs w:val="28"/>
        </w:rPr>
        <w:t>9</w:t>
      </w:r>
      <w:r w:rsidR="00163275">
        <w:rPr>
          <w:color w:val="272727"/>
          <w:sz w:val="28"/>
          <w:szCs w:val="28"/>
        </w:rPr>
        <w:t>.01.2020</w:t>
      </w:r>
      <w:r w:rsidR="00395973">
        <w:rPr>
          <w:color w:val="272727"/>
          <w:sz w:val="28"/>
          <w:szCs w:val="28"/>
        </w:rPr>
        <w:t xml:space="preserve"> № </w:t>
      </w:r>
      <w:r w:rsidR="00C36694">
        <w:rPr>
          <w:color w:val="272727"/>
          <w:sz w:val="28"/>
          <w:szCs w:val="28"/>
        </w:rPr>
        <w:t>9</w:t>
      </w:r>
      <w:r w:rsidRPr="00D97D33">
        <w:rPr>
          <w:color w:val="272727"/>
          <w:sz w:val="28"/>
          <w:szCs w:val="28"/>
        </w:rPr>
        <w:t>;</w:t>
      </w:r>
    </w:p>
    <w:p w:rsidR="00D97D33" w:rsidRPr="00D97D33" w:rsidRDefault="00D97D33" w:rsidP="00D97D33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72727"/>
          <w:sz w:val="28"/>
          <w:szCs w:val="28"/>
        </w:rPr>
      </w:pPr>
      <w:r w:rsidRPr="00D97D33">
        <w:rPr>
          <w:color w:val="272727"/>
          <w:sz w:val="28"/>
          <w:szCs w:val="28"/>
        </w:rPr>
        <w:t>7.2. указании в муниципальных контрактах, контрактах учреждения, договорах (соглашениях), контрактах (договорах), распоряжениях о совершении казначейских платежей, а также в документах-основаниях идентификатора муниципального контракта, контракта учреждения, договора (соглашения), контракта (договора), определенного в соответствии с подпунктом 3 пункта 2 статьи 242.23 Бюджетного кодекса Российской Федерации;</w:t>
      </w:r>
    </w:p>
    <w:p w:rsidR="00D97D33" w:rsidRPr="000D2E13" w:rsidRDefault="000D2E13" w:rsidP="002565E9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72727"/>
          <w:sz w:val="28"/>
          <w:szCs w:val="28"/>
        </w:rPr>
      </w:pPr>
      <w:r w:rsidRPr="000D2E13">
        <w:rPr>
          <w:color w:val="333333"/>
          <w:sz w:val="28"/>
          <w:szCs w:val="28"/>
          <w:shd w:val="clear" w:color="auto" w:fill="FFFFFF"/>
        </w:rPr>
        <w:t>7.3.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0D2E13">
        <w:rPr>
          <w:color w:val="333333"/>
          <w:sz w:val="28"/>
          <w:szCs w:val="28"/>
          <w:shd w:val="clear" w:color="auto" w:fill="FFFFFF"/>
        </w:rPr>
        <w:t xml:space="preserve">о ведении </w:t>
      </w:r>
      <w:r>
        <w:rPr>
          <w:color w:val="333333"/>
          <w:sz w:val="28"/>
          <w:szCs w:val="28"/>
          <w:shd w:val="clear" w:color="auto" w:fill="FFFFFF"/>
        </w:rPr>
        <w:t>раздельного учета результатов финансово-хозяйственной деятельности по каждому муниципальному контракту, контракту учреждения, договору (соглашению), контракту (договору) в соответствии с П</w:t>
      </w:r>
      <w:r w:rsidRPr="000D2E13">
        <w:rPr>
          <w:color w:val="333333"/>
          <w:sz w:val="28"/>
          <w:szCs w:val="28"/>
          <w:shd w:val="clear" w:color="auto" w:fill="FFFFFF"/>
        </w:rPr>
        <w:t>орядком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="00AA6325">
        <w:rPr>
          <w:color w:val="333333"/>
          <w:sz w:val="28"/>
          <w:szCs w:val="28"/>
          <w:shd w:val="clear" w:color="auto" w:fill="FFFFFF"/>
        </w:rPr>
        <w:t>в</w:t>
      </w:r>
      <w:r>
        <w:rPr>
          <w:rStyle w:val="ab"/>
          <w:b w:val="0"/>
          <w:color w:val="2A3143"/>
          <w:sz w:val="28"/>
          <w:szCs w:val="28"/>
          <w:shd w:val="clear" w:color="auto" w:fill="FFFFFF"/>
        </w:rPr>
        <w:t>едение</w:t>
      </w:r>
      <w:r w:rsidRPr="000D2E13">
        <w:rPr>
          <w:rStyle w:val="ab"/>
          <w:b w:val="0"/>
          <w:color w:val="2A3143"/>
          <w:sz w:val="28"/>
          <w:szCs w:val="28"/>
          <w:shd w:val="clear" w:color="auto" w:fill="FFFFFF"/>
        </w:rPr>
        <w:t xml:space="preserve"> учета доходов, затрат,</w:t>
      </w:r>
      <w:r>
        <w:rPr>
          <w:rStyle w:val="ab"/>
          <w:b w:val="0"/>
          <w:color w:val="2A3143"/>
          <w:sz w:val="28"/>
          <w:szCs w:val="28"/>
          <w:shd w:val="clear" w:color="auto" w:fill="FFFFFF"/>
        </w:rPr>
        <w:t xml:space="preserve"> </w:t>
      </w:r>
      <w:r w:rsidRPr="000D2E13">
        <w:rPr>
          <w:rStyle w:val="ab"/>
          <w:b w:val="0"/>
          <w:color w:val="2A3143"/>
          <w:sz w:val="28"/>
          <w:szCs w:val="28"/>
          <w:shd w:val="clear" w:color="auto" w:fill="FFFFFF"/>
        </w:rPr>
        <w:t>произведенных участниками казначейского сопровождения в целях достижения результатов,</w:t>
      </w:r>
      <w:r>
        <w:rPr>
          <w:rStyle w:val="ab"/>
          <w:b w:val="0"/>
          <w:color w:val="2A3143"/>
          <w:sz w:val="28"/>
          <w:szCs w:val="28"/>
          <w:shd w:val="clear" w:color="auto" w:fill="FFFFFF"/>
        </w:rPr>
        <w:t xml:space="preserve"> установленных при предоставлении целевых средств по каждому муниципальному контракту, договору (соглашению), контракту (договору»</w:t>
      </w:r>
      <w:r w:rsidR="00AA6325">
        <w:rPr>
          <w:rStyle w:val="ab"/>
          <w:b w:val="0"/>
          <w:color w:val="2A3143"/>
          <w:sz w:val="28"/>
          <w:szCs w:val="28"/>
          <w:shd w:val="clear" w:color="auto" w:fill="FFFFFF"/>
        </w:rPr>
        <w:t xml:space="preserve">, утвержденного </w:t>
      </w:r>
      <w:r w:rsidR="00AA6325" w:rsidRPr="000D2E13">
        <w:rPr>
          <w:color w:val="333333"/>
          <w:sz w:val="28"/>
          <w:szCs w:val="28"/>
          <w:shd w:val="clear" w:color="auto" w:fill="FFFFFF"/>
        </w:rPr>
        <w:t>Министерством финансов Российской Федерации</w:t>
      </w:r>
      <w:r w:rsidR="00AA6325">
        <w:rPr>
          <w:color w:val="333333"/>
          <w:sz w:val="28"/>
          <w:szCs w:val="28"/>
          <w:shd w:val="clear" w:color="auto" w:fill="FFFFFF"/>
        </w:rPr>
        <w:t xml:space="preserve"> от 10.12.2021 № 210н </w:t>
      </w:r>
      <w:r w:rsidR="00D97D33" w:rsidRPr="000D2E13">
        <w:rPr>
          <w:color w:val="272727"/>
          <w:sz w:val="28"/>
          <w:szCs w:val="28"/>
          <w:shd w:val="clear" w:color="auto" w:fill="FFFFFF"/>
        </w:rPr>
        <w:t>;</w:t>
      </w:r>
    </w:p>
    <w:p w:rsidR="00C86FC2" w:rsidRDefault="00C86FC2" w:rsidP="002565E9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72727"/>
          <w:sz w:val="28"/>
          <w:szCs w:val="28"/>
        </w:rPr>
      </w:pPr>
      <w:r>
        <w:rPr>
          <w:color w:val="272727"/>
          <w:sz w:val="28"/>
          <w:szCs w:val="28"/>
        </w:rPr>
        <w:t>7.4</w:t>
      </w:r>
      <w:r w:rsidRPr="00FF3C90">
        <w:rPr>
          <w:color w:val="272727"/>
          <w:sz w:val="28"/>
          <w:szCs w:val="28"/>
        </w:rPr>
        <w:t>. соблюдении участником казначейского сопровождения условий ведения и использования лицевого счета (режима лицевого счета), определенного пунктом 3 статьи 242.23 Бюджетного кодекса Российской Федерации, в том числе условий о соблюдении запрета на перечисление целевых средств на счета, открытые участнику казначейского сопровождения в учреждении Центрального банка Российской Федерации или в кредитной организации, за исключением оплаты обязательств, предусмотренных подпунктом 3 пункта 3 статьи 242.23 Бюджетного кодекса Российской Федерации</w:t>
      </w:r>
      <w:r w:rsidR="00AA6325">
        <w:rPr>
          <w:color w:val="272727"/>
          <w:sz w:val="28"/>
          <w:szCs w:val="28"/>
        </w:rPr>
        <w:t>.</w:t>
      </w:r>
      <w:r w:rsidRPr="00FF3C90">
        <w:rPr>
          <w:color w:val="272727"/>
          <w:sz w:val="28"/>
          <w:szCs w:val="28"/>
        </w:rPr>
        <w:t xml:space="preserve"> </w:t>
      </w:r>
    </w:p>
    <w:p w:rsidR="00C86FC2" w:rsidRPr="00FF3C90" w:rsidRDefault="00C86FC2" w:rsidP="002565E9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72727"/>
          <w:sz w:val="28"/>
          <w:szCs w:val="28"/>
        </w:rPr>
      </w:pPr>
      <w:r w:rsidRPr="00FF3C90">
        <w:rPr>
          <w:color w:val="272727"/>
          <w:sz w:val="28"/>
          <w:szCs w:val="28"/>
        </w:rPr>
        <w:t xml:space="preserve">8. При казначейском сопровождении обмен документами между </w:t>
      </w:r>
      <w:r w:rsidR="00AA6325">
        <w:rPr>
          <w:color w:val="272727"/>
          <w:sz w:val="28"/>
          <w:szCs w:val="28"/>
        </w:rPr>
        <w:t>Ф</w:t>
      </w:r>
      <w:r w:rsidRPr="00FF3C90">
        <w:rPr>
          <w:color w:val="272727"/>
          <w:sz w:val="28"/>
          <w:szCs w:val="28"/>
        </w:rPr>
        <w:t xml:space="preserve">инансовым управлением, получателем средств бюджета </w:t>
      </w:r>
      <w:r>
        <w:rPr>
          <w:color w:val="272727"/>
          <w:sz w:val="28"/>
          <w:szCs w:val="28"/>
        </w:rPr>
        <w:t xml:space="preserve">Суксунского </w:t>
      </w:r>
      <w:r w:rsidRPr="00FF3C90">
        <w:rPr>
          <w:color w:val="272727"/>
          <w:sz w:val="28"/>
          <w:szCs w:val="28"/>
        </w:rPr>
        <w:t>округа, до которого доведены лимиты бюджетных обязательств на предоставление субсидий или бюджетных инвестиций, на заключение муниципальных контрактов, муниципальным бюджетным и автономным учреждением и участником казначейского сопровождения осуществляется с применением усиленной квалифицированной электронной подписи лица, уполномоченного действовать от имени получателя бюджетных средств, муниципального заказчика, муниципального бюджетного и автономного учреждения или участника казначейского сопровождения.</w:t>
      </w:r>
    </w:p>
    <w:p w:rsidR="00C86FC2" w:rsidRPr="00FF3C90" w:rsidRDefault="00C86FC2" w:rsidP="002565E9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72727"/>
          <w:sz w:val="28"/>
          <w:szCs w:val="28"/>
        </w:rPr>
      </w:pPr>
      <w:r w:rsidRPr="00FF3C90">
        <w:rPr>
          <w:color w:val="272727"/>
          <w:sz w:val="28"/>
          <w:szCs w:val="28"/>
        </w:rPr>
        <w:t xml:space="preserve">Обмен документами, содержащими сведения, составляющие государственную тайну, осуществляется с учетом соблюдения требований, </w:t>
      </w:r>
      <w:r w:rsidRPr="00FF3C90">
        <w:rPr>
          <w:color w:val="272727"/>
          <w:sz w:val="28"/>
          <w:szCs w:val="28"/>
        </w:rPr>
        <w:lastRenderedPageBreak/>
        <w:t>установленных законодательством Российской Федерации о государственной и иной охраняемой в соответствии с федеральными законами, нормативными правовыми актами Президента Российской Федерации и Правительства Российской Федерации тайне.</w:t>
      </w:r>
    </w:p>
    <w:p w:rsidR="00C86FC2" w:rsidRDefault="00C86FC2" w:rsidP="002565E9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72727"/>
          <w:sz w:val="28"/>
          <w:szCs w:val="28"/>
        </w:rPr>
      </w:pPr>
      <w:r w:rsidRPr="00FF3C90">
        <w:rPr>
          <w:color w:val="272727"/>
          <w:sz w:val="28"/>
          <w:szCs w:val="28"/>
        </w:rPr>
        <w:t>9. Финансовое управление ежедневно (в рабочие дни) предоставляет информацию о муниципальных контрактах, контрактах учреждения, договорах (соглашениях), контрактах (договорах), о лицевых счетах</w:t>
      </w:r>
      <w:r>
        <w:rPr>
          <w:color w:val="272727"/>
          <w:sz w:val="28"/>
          <w:szCs w:val="28"/>
        </w:rPr>
        <w:t xml:space="preserve"> у</w:t>
      </w:r>
      <w:r w:rsidRPr="00FF3C90">
        <w:rPr>
          <w:color w:val="272727"/>
          <w:sz w:val="28"/>
          <w:szCs w:val="28"/>
        </w:rPr>
        <w:t>частников казначейского сопровождения и об операциях по зачислению и списанию целевых средств, отраженных на лицевых счетах в порядке, установленном Федеральным казначейством, в подсистему информационно-аналитического обеспечения государственной интегрированной информационной системы управления общественными финансами «Электронный бюджет», оператором которой является Федеральное казначейство</w:t>
      </w:r>
      <w:r>
        <w:rPr>
          <w:color w:val="272727"/>
          <w:sz w:val="28"/>
          <w:szCs w:val="28"/>
        </w:rPr>
        <w:t>.</w:t>
      </w:r>
    </w:p>
    <w:p w:rsidR="00C86FC2" w:rsidRPr="002F22B7" w:rsidRDefault="00C86FC2" w:rsidP="002565E9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72727"/>
          <w:sz w:val="28"/>
          <w:szCs w:val="28"/>
        </w:rPr>
      </w:pPr>
      <w:r w:rsidRPr="002F22B7">
        <w:rPr>
          <w:color w:val="272727"/>
          <w:sz w:val="28"/>
          <w:szCs w:val="28"/>
        </w:rPr>
        <w:t xml:space="preserve">10. Расширенное казначейское сопровождение средств, осуществляется </w:t>
      </w:r>
      <w:r w:rsidR="00AA6325">
        <w:rPr>
          <w:color w:val="272727"/>
          <w:sz w:val="28"/>
          <w:szCs w:val="28"/>
        </w:rPr>
        <w:t>Ф</w:t>
      </w:r>
      <w:r w:rsidRPr="002F22B7">
        <w:rPr>
          <w:color w:val="272727"/>
          <w:sz w:val="28"/>
          <w:szCs w:val="28"/>
        </w:rPr>
        <w:t xml:space="preserve">инансовым управлением,  </w:t>
      </w:r>
      <w:r w:rsidRPr="002F22B7">
        <w:rPr>
          <w:color w:val="000000"/>
          <w:sz w:val="28"/>
          <w:szCs w:val="28"/>
          <w:shd w:val="clear" w:color="auto" w:fill="FFFFFF"/>
        </w:rPr>
        <w:t>подлежащи</w:t>
      </w:r>
      <w:r>
        <w:rPr>
          <w:color w:val="000000"/>
          <w:sz w:val="28"/>
          <w:szCs w:val="28"/>
          <w:shd w:val="clear" w:color="auto" w:fill="FFFFFF"/>
        </w:rPr>
        <w:t>х</w:t>
      </w:r>
      <w:r w:rsidRPr="002F22B7">
        <w:rPr>
          <w:color w:val="000000"/>
          <w:sz w:val="28"/>
          <w:szCs w:val="28"/>
          <w:shd w:val="clear" w:color="auto" w:fill="FFFFFF"/>
        </w:rPr>
        <w:t xml:space="preserve"> казначейскому сопровождению в соответствии с Бюджетным</w:t>
      </w:r>
      <w:r>
        <w:rPr>
          <w:color w:val="000000"/>
          <w:sz w:val="28"/>
          <w:szCs w:val="28"/>
          <w:shd w:val="clear" w:color="auto" w:fill="FFFFFF"/>
        </w:rPr>
        <w:t xml:space="preserve"> кодексом Р</w:t>
      </w:r>
      <w:r w:rsidRPr="002F22B7">
        <w:rPr>
          <w:color w:val="000000"/>
          <w:sz w:val="28"/>
          <w:szCs w:val="28"/>
          <w:shd w:val="clear" w:color="auto" w:fill="FFFFFF"/>
        </w:rPr>
        <w:t>оссийской Федерации и предоставляемых из федерального бюджета, бюджета субъекта Российской Федерации (местного бюджета) участникам казначейского сопровождения в соответствии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2F22B7">
        <w:rPr>
          <w:color w:val="272727"/>
          <w:sz w:val="28"/>
          <w:szCs w:val="28"/>
        </w:rPr>
        <w:t>с пунктом 3 статьи 242.24 Бюджетного кодекса Российской Федерации.</w:t>
      </w:r>
    </w:p>
    <w:p w:rsidR="00C86FC2" w:rsidRPr="00DD264C" w:rsidRDefault="00C86FC2" w:rsidP="002565E9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  <w:r w:rsidRPr="00FF3C90">
        <w:rPr>
          <w:color w:val="272727"/>
          <w:sz w:val="28"/>
          <w:szCs w:val="28"/>
        </w:rPr>
        <w:t xml:space="preserve">11. </w:t>
      </w:r>
      <w:r w:rsidRPr="00DD264C">
        <w:rPr>
          <w:color w:val="272727"/>
          <w:sz w:val="28"/>
          <w:szCs w:val="28"/>
          <w:shd w:val="clear" w:color="auto" w:fill="FFFFFF"/>
        </w:rPr>
        <w:t>Положения настоящего Порядка о казначейском сопровождении целевых средств, касающихся договоров (соглашений), применяются в отношении целевых средств, предоставляемых на основании концессионных соглашений, соглашений о муниципально-частном партнерстве, в случае, если требования о казначейском сопровождении средств, предоставляемых на основании концессионных соглашений, соглашений о муниципально-частном партнерстве, установлены федеральными законами или решениями Правительства Российской Федерации, предусмотренными подпунктом 2 пункта 1 статьи 242.26 Бюджетного кодекса Российской Федерации.</w:t>
      </w:r>
    </w:p>
    <w:p w:rsidR="00C86FC2" w:rsidRPr="00F247A2" w:rsidRDefault="00C86FC2" w:rsidP="002565E9">
      <w:pPr>
        <w:pStyle w:val="a5"/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C86FC2" w:rsidRPr="00F247A2" w:rsidRDefault="00545E2D" w:rsidP="002565E9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2" o:spid="_x0000_s1026" type="#_x0000_t202" style="position:absolute;left:0;text-align:left;margin-left:85.05pt;margin-top:760.35pt;width:266.4pt;height:29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zWrsw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" filled="f" stroked="f">
            <v:textbox inset="0,0,0,0">
              <w:txbxContent>
                <w:p w:rsidR="00846705" w:rsidRPr="00F247A2" w:rsidRDefault="00846705" w:rsidP="00C86FC2">
                  <w:pPr>
                    <w:pStyle w:val="a6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</w:p>
    <w:p w:rsidR="003769F7" w:rsidRDefault="003769F7" w:rsidP="002565E9">
      <w:pPr>
        <w:spacing w:after="0" w:line="240" w:lineRule="auto"/>
        <w:ind w:firstLine="709"/>
      </w:pPr>
    </w:p>
    <w:sectPr w:rsidR="003769F7" w:rsidSect="00C86F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49" w:bottom="1134" w:left="1276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E2D" w:rsidRDefault="00545E2D" w:rsidP="00C86FC2">
      <w:pPr>
        <w:spacing w:after="0" w:line="240" w:lineRule="auto"/>
      </w:pPr>
      <w:r>
        <w:separator/>
      </w:r>
    </w:p>
  </w:endnote>
  <w:endnote w:type="continuationSeparator" w:id="0">
    <w:p w:rsidR="00545E2D" w:rsidRDefault="00545E2D" w:rsidP="00C86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705" w:rsidRDefault="0084670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705" w:rsidRDefault="00846705">
    <w:pPr>
      <w:pStyle w:val="a9"/>
      <w:rPr>
        <w:lang w:val="en-US"/>
      </w:rPr>
    </w:pPr>
    <w:r>
      <w:rPr>
        <w:lang w:val="en-US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705" w:rsidRDefault="0084670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E2D" w:rsidRDefault="00545E2D" w:rsidP="00C86FC2">
      <w:pPr>
        <w:spacing w:after="0" w:line="240" w:lineRule="auto"/>
      </w:pPr>
      <w:r>
        <w:separator/>
      </w:r>
    </w:p>
  </w:footnote>
  <w:footnote w:type="continuationSeparator" w:id="0">
    <w:p w:rsidR="00545E2D" w:rsidRDefault="00545E2D" w:rsidP="00C86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705" w:rsidRDefault="0084670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247454"/>
    </w:sdtPr>
    <w:sdtEndPr/>
    <w:sdtContent>
      <w:p w:rsidR="00846705" w:rsidRDefault="00545E2D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5A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46705" w:rsidRDefault="00846705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705" w:rsidRDefault="0084670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6FC2"/>
    <w:rsid w:val="000142CB"/>
    <w:rsid w:val="0009296E"/>
    <w:rsid w:val="000D2E13"/>
    <w:rsid w:val="000E1873"/>
    <w:rsid w:val="0011735F"/>
    <w:rsid w:val="00163275"/>
    <w:rsid w:val="00205AE9"/>
    <w:rsid w:val="002565E9"/>
    <w:rsid w:val="003769F7"/>
    <w:rsid w:val="00395973"/>
    <w:rsid w:val="003B01AE"/>
    <w:rsid w:val="00435090"/>
    <w:rsid w:val="00545E2D"/>
    <w:rsid w:val="006841E2"/>
    <w:rsid w:val="00793D44"/>
    <w:rsid w:val="00846705"/>
    <w:rsid w:val="008B7741"/>
    <w:rsid w:val="008F0621"/>
    <w:rsid w:val="00A76668"/>
    <w:rsid w:val="00AA6325"/>
    <w:rsid w:val="00C36694"/>
    <w:rsid w:val="00C86FC2"/>
    <w:rsid w:val="00CB24A6"/>
    <w:rsid w:val="00D97D33"/>
    <w:rsid w:val="00F21660"/>
    <w:rsid w:val="00FC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EBF2E07"/>
  <w15:docId w15:val="{42368981-4EE5-41D5-A7CF-728CBC9D9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FC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86FC2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C86FC2"/>
    <w:rPr>
      <w:rFonts w:ascii="Calibri" w:eastAsia="Times New Roman" w:hAnsi="Calibri" w:cs="Times New Roman"/>
      <w:lang w:eastAsia="ru-RU"/>
    </w:rPr>
  </w:style>
  <w:style w:type="paragraph" w:customStyle="1" w:styleId="a5">
    <w:name w:val="Заголовок к тексту"/>
    <w:basedOn w:val="a"/>
    <w:next w:val="a3"/>
    <w:rsid w:val="00C86FC2"/>
    <w:pPr>
      <w:suppressAutoHyphens/>
      <w:spacing w:after="480" w:line="240" w:lineRule="exact"/>
    </w:pPr>
    <w:rPr>
      <w:b/>
    </w:rPr>
  </w:style>
  <w:style w:type="paragraph" w:customStyle="1" w:styleId="a6">
    <w:name w:val="Исполнитель"/>
    <w:basedOn w:val="a3"/>
    <w:rsid w:val="00C86FC2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7">
    <w:name w:val="header"/>
    <w:basedOn w:val="a"/>
    <w:link w:val="a8"/>
    <w:uiPriority w:val="99"/>
    <w:rsid w:val="00C86F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86FC2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rsid w:val="00C86F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86FC2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C86F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C86FC2"/>
    <w:rPr>
      <w:b/>
      <w:bCs/>
    </w:rPr>
  </w:style>
  <w:style w:type="paragraph" w:styleId="ac">
    <w:name w:val="Normal (Web)"/>
    <w:basedOn w:val="a"/>
    <w:uiPriority w:val="99"/>
    <w:unhideWhenUsed/>
    <w:rsid w:val="00C86F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d">
    <w:name w:val="Table Grid"/>
    <w:basedOn w:val="a1"/>
    <w:rsid w:val="00C8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793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93D4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9">
    <w:name w:val="w9"/>
    <w:basedOn w:val="a0"/>
    <w:rsid w:val="00CB24A6"/>
  </w:style>
  <w:style w:type="character" w:customStyle="1" w:styleId="cmd">
    <w:name w:val="cmd"/>
    <w:basedOn w:val="a0"/>
    <w:rsid w:val="00CB24A6"/>
  </w:style>
  <w:style w:type="character" w:styleId="af0">
    <w:name w:val="Hyperlink"/>
    <w:basedOn w:val="a0"/>
    <w:uiPriority w:val="99"/>
    <w:semiHidden/>
    <w:unhideWhenUsed/>
    <w:rsid w:val="00A766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7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pravo.gov.ru/proxy/ips/?docbody=&amp;prevDoc=602584174&amp;backlink=1&amp;&amp;nd=102054721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602584174&amp;backlink=1&amp;&amp;nd=102054721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1425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Fin_kluchi</dc:creator>
  <cp:lastModifiedBy>RePack by Diakov</cp:lastModifiedBy>
  <cp:revision>9</cp:revision>
  <cp:lastPrinted>2023-06-05T05:20:00Z</cp:lastPrinted>
  <dcterms:created xsi:type="dcterms:W3CDTF">2023-05-29T09:32:00Z</dcterms:created>
  <dcterms:modified xsi:type="dcterms:W3CDTF">2023-06-06T06:54:00Z</dcterms:modified>
</cp:coreProperties>
</file>