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D06F84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</w:p>
    <w:p w:rsidR="00D06F84" w:rsidRDefault="00830DC3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строительства</w:t>
      </w:r>
      <w:r w:rsidR="00740C12" w:rsidRPr="00740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</w:p>
    <w:p w:rsidR="00B75DCF" w:rsidRPr="00740C12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20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9F3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9F3F2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23465D">
        <w:rPr>
          <w:rFonts w:ascii="Times New Roman" w:hAnsi="Times New Roman"/>
          <w:sz w:val="28"/>
          <w:szCs w:val="28"/>
        </w:rPr>
        <w:t>21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23465D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</w:t>
      </w:r>
      <w:r w:rsidR="0023465D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23465D">
        <w:rPr>
          <w:rFonts w:ascii="Times New Roman" w:hAnsi="Times New Roman"/>
          <w:sz w:val="28"/>
          <w:szCs w:val="28"/>
        </w:rPr>
        <w:t>3</w:t>
      </w:r>
    </w:p>
    <w:p w:rsidR="003958FB" w:rsidRDefault="003958FB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9F3F20" w:rsidRPr="007C5268" w:rsidRDefault="009F3F20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1943F2" w:rsidRDefault="001B7F56" w:rsidP="009F3F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0DC3" w:rsidRPr="00830DC3">
        <w:rPr>
          <w:rFonts w:ascii="Times New Roman" w:hAnsi="Times New Roman"/>
          <w:sz w:val="28"/>
          <w:szCs w:val="28"/>
        </w:rPr>
        <w:t>04.03.2021 № 13 «О проведении внешней проверки бюджетной отчетности Управления капитального строительства Администрации Суксунского городского округа Пермского края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D06F8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D06F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 xml:space="preserve">Управления </w:t>
      </w:r>
      <w:r w:rsidR="005F2C43">
        <w:rPr>
          <w:rFonts w:ascii="Times New Roman" w:hAnsi="Times New Roman"/>
          <w:sz w:val="28"/>
          <w:szCs w:val="28"/>
        </w:rPr>
        <w:t>капитального строительства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="009F3F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3F20" w:rsidRPr="003F48E4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F20" w:rsidRDefault="009F3F20" w:rsidP="009F3F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Default="00B8161C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F84">
        <w:rPr>
          <w:rFonts w:ascii="Times New Roman" w:hAnsi="Times New Roman"/>
          <w:b/>
          <w:sz w:val="28"/>
          <w:szCs w:val="28"/>
        </w:rPr>
        <w:t>Цел</w:t>
      </w:r>
      <w:r w:rsidR="003E4E33" w:rsidRPr="00D06F84">
        <w:rPr>
          <w:rFonts w:ascii="Times New Roman" w:hAnsi="Times New Roman"/>
          <w:b/>
          <w:sz w:val="28"/>
          <w:szCs w:val="28"/>
        </w:rPr>
        <w:t>ь</w:t>
      </w:r>
      <w:r w:rsidRPr="00D06F84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D06F84" w:rsidRPr="00D06F84" w:rsidRDefault="00D06F84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D06F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D06F84" w:rsidRDefault="00D06F84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E74F2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E671D0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 выборочной основе с применением принципа существенности и включала в себя анализ, сопоставление и оценку г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довой бюджетной отчетности ГАБС, данных Финансового управления Админ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об исполнении бюджета и других материалов.</w:t>
      </w:r>
    </w:p>
    <w:p w:rsidR="009F3F20" w:rsidRPr="00564CBC" w:rsidRDefault="009F3F20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9F3F20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9F3F20">
      <w:pPr>
        <w:pStyle w:val="21"/>
        <w:widowControl w:val="0"/>
        <w:ind w:firstLine="709"/>
        <w:rPr>
          <w:b/>
        </w:rPr>
      </w:pP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3F48E4">
        <w:rPr>
          <w:rFonts w:ascii="Times New Roman" w:eastAsiaTheme="minorHAnsi" w:hAnsi="Times New Roman"/>
          <w:sz w:val="28"/>
          <w:szCs w:val="28"/>
        </w:rPr>
        <w:t>о</w:t>
      </w:r>
      <w:r w:rsidRPr="003F48E4">
        <w:rPr>
          <w:rFonts w:ascii="Times New Roman" w:eastAsiaTheme="minorHAnsi" w:hAnsi="Times New Roman"/>
          <w:sz w:val="28"/>
          <w:szCs w:val="28"/>
        </w:rPr>
        <w:t xml:space="preserve">родского округа Пермского края является отраслевым (функциональным) органом </w:t>
      </w:r>
      <w:r w:rsidRPr="003F48E4">
        <w:rPr>
          <w:rFonts w:ascii="Times New Roman" w:eastAsiaTheme="minorHAnsi" w:hAnsi="Times New Roman"/>
          <w:sz w:val="28"/>
          <w:szCs w:val="28"/>
        </w:rPr>
        <w:lastRenderedPageBreak/>
        <w:t>Администрации Суксунского городского округа Пермского края, обеспечива</w:t>
      </w:r>
      <w:r w:rsidRPr="003F48E4">
        <w:rPr>
          <w:rFonts w:ascii="Times New Roman" w:eastAsiaTheme="minorHAnsi" w:hAnsi="Times New Roman"/>
          <w:sz w:val="28"/>
          <w:szCs w:val="28"/>
        </w:rPr>
        <w:t>ю</w:t>
      </w:r>
      <w:r w:rsidRPr="003F48E4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3F48E4">
        <w:rPr>
          <w:rFonts w:ascii="Times New Roman" w:eastAsiaTheme="minorHAnsi" w:hAnsi="Times New Roman"/>
          <w:sz w:val="28"/>
          <w:szCs w:val="28"/>
        </w:rPr>
        <w:t>а</w:t>
      </w:r>
      <w:r w:rsidRPr="003F48E4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является юридическим лицом, имеет самостоятельный баланс и обособленное имущество, печать установленн</w:t>
      </w:r>
      <w:r w:rsidRPr="003F48E4">
        <w:rPr>
          <w:rFonts w:ascii="Times New Roman" w:eastAsiaTheme="minorHAnsi" w:hAnsi="Times New Roman"/>
          <w:sz w:val="28"/>
          <w:szCs w:val="28"/>
        </w:rPr>
        <w:t>о</w:t>
      </w:r>
      <w:r w:rsidRPr="003F48E4">
        <w:rPr>
          <w:rFonts w:ascii="Times New Roman" w:eastAsiaTheme="minorHAnsi" w:hAnsi="Times New Roman"/>
          <w:sz w:val="28"/>
          <w:szCs w:val="28"/>
        </w:rPr>
        <w:t>го образца, штамп, бланки.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пользуется лицевым счетом, отр</w:t>
      </w:r>
      <w:r w:rsidRPr="003F48E4">
        <w:rPr>
          <w:rFonts w:ascii="Times New Roman" w:eastAsiaTheme="minorHAnsi" w:hAnsi="Times New Roman"/>
          <w:sz w:val="28"/>
          <w:szCs w:val="28"/>
        </w:rPr>
        <w:t>ы</w:t>
      </w:r>
      <w:r w:rsidRPr="003F48E4">
        <w:rPr>
          <w:rFonts w:ascii="Times New Roman" w:eastAsiaTheme="minorHAnsi" w:hAnsi="Times New Roman"/>
          <w:sz w:val="28"/>
          <w:szCs w:val="28"/>
        </w:rPr>
        <w:t xml:space="preserve">тым в </w:t>
      </w:r>
      <w:r w:rsidR="00BA1C75">
        <w:rPr>
          <w:rFonts w:ascii="Times New Roman" w:eastAsiaTheme="minorHAnsi" w:hAnsi="Times New Roman"/>
          <w:sz w:val="28"/>
          <w:szCs w:val="28"/>
        </w:rPr>
        <w:t>Ф</w:t>
      </w:r>
      <w:r w:rsidRPr="003F48E4">
        <w:rPr>
          <w:rFonts w:ascii="Times New Roman" w:eastAsiaTheme="minorHAnsi" w:hAnsi="Times New Roman"/>
          <w:sz w:val="28"/>
          <w:szCs w:val="28"/>
        </w:rPr>
        <w:t>инансовом управлении Администрации Суксунского городского округа Пермского края.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3F48E4">
        <w:rPr>
          <w:rFonts w:ascii="Times New Roman" w:eastAsiaTheme="minorHAnsi" w:hAnsi="Times New Roman"/>
          <w:sz w:val="28"/>
          <w:szCs w:val="28"/>
        </w:rPr>
        <w:t>и</w:t>
      </w:r>
      <w:r w:rsidRPr="003F48E4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3F48E4">
        <w:rPr>
          <w:rFonts w:ascii="Times New Roman" w:eastAsiaTheme="minorHAnsi" w:hAnsi="Times New Roman"/>
          <w:sz w:val="28"/>
          <w:szCs w:val="28"/>
        </w:rPr>
        <w:t>у</w:t>
      </w:r>
      <w:r w:rsidRPr="003F48E4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>Полное наименование учреждения: Управление капитального строительства Администрации Суксунского городского округа Пермского края.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8E4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учреждения: 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 Суксунского городского округа от 19.12.2019 № 69</w:t>
      </w:r>
      <w:r w:rsidR="00B55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учреждении </w:t>
      </w:r>
      <w:r w:rsidR="00B556CC" w:rsidRPr="003F48E4">
        <w:rPr>
          <w:rFonts w:ascii="Times New Roman" w:eastAsiaTheme="minorHAnsi" w:hAnsi="Times New Roman"/>
          <w:sz w:val="28"/>
          <w:szCs w:val="28"/>
        </w:rPr>
        <w:t>Управлени</w:t>
      </w:r>
      <w:r w:rsidR="00B556CC">
        <w:rPr>
          <w:rFonts w:ascii="Times New Roman" w:eastAsiaTheme="minorHAnsi" w:hAnsi="Times New Roman"/>
          <w:sz w:val="28"/>
          <w:szCs w:val="28"/>
        </w:rPr>
        <w:t>я</w:t>
      </w:r>
      <w:r w:rsidR="00B556CC" w:rsidRPr="003F48E4">
        <w:rPr>
          <w:rFonts w:ascii="Times New Roman" w:eastAsiaTheme="minorHAnsi" w:hAnsi="Times New Roman"/>
          <w:sz w:val="28"/>
          <w:szCs w:val="28"/>
        </w:rPr>
        <w:t xml:space="preserve"> капитального строител</w:t>
      </w:r>
      <w:r w:rsidR="00B556CC" w:rsidRPr="003F48E4">
        <w:rPr>
          <w:rFonts w:ascii="Times New Roman" w:eastAsiaTheme="minorHAnsi" w:hAnsi="Times New Roman"/>
          <w:sz w:val="28"/>
          <w:szCs w:val="28"/>
        </w:rPr>
        <w:t>ь</w:t>
      </w:r>
      <w:r w:rsidR="00B556CC" w:rsidRPr="003F48E4">
        <w:rPr>
          <w:rFonts w:ascii="Times New Roman" w:eastAsiaTheme="minorHAnsi" w:hAnsi="Times New Roman"/>
          <w:sz w:val="28"/>
          <w:szCs w:val="28"/>
        </w:rPr>
        <w:t>ства Администрации Суксунского городского округа Пермского края</w:t>
      </w:r>
      <w:r w:rsidR="00B556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48E4" w:rsidRPr="003F48E4" w:rsidRDefault="003F48E4" w:rsidP="009F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48E4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строительства является муниципальным казе</w:t>
      </w:r>
      <w:r w:rsidRPr="003F48E4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3F48E4">
        <w:rPr>
          <w:rFonts w:ascii="Times New Roman" w:eastAsiaTheme="minorHAnsi" w:hAnsi="Times New Roman"/>
          <w:color w:val="000000"/>
          <w:sz w:val="28"/>
          <w:szCs w:val="28"/>
        </w:rPr>
        <w:t>ным учреждением и не имеет подведомственных участников бюджетного проце</w:t>
      </w:r>
      <w:r w:rsidRPr="003F48E4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3F48E4">
        <w:rPr>
          <w:rFonts w:ascii="Times New Roman" w:eastAsiaTheme="minorHAnsi" w:hAnsi="Times New Roman"/>
          <w:color w:val="000000"/>
          <w:sz w:val="28"/>
          <w:szCs w:val="28"/>
        </w:rPr>
        <w:t>са, учреждений и муниципальных унитарных предприятий.</w:t>
      </w:r>
    </w:p>
    <w:p w:rsidR="003F48E4" w:rsidRPr="003F48E4" w:rsidRDefault="003F48E4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8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3F48E4" w:rsidRPr="003F48E4" w:rsidRDefault="003F48E4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8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Управления капитального строительства является начальник 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капитального строительства Администрации Суксунского городского округа Пермского края Усольцева Галина Ивановна, назначенная на должность с 31.12.2019 распоряжением Администрации Суксунского городского округа </w:t>
      </w:r>
      <w:r w:rsidR="009F3F20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9F3F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F3F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от 24.12.2019 № 2-л «О назначении на должность Усольцевой Г.И.».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Бюджетного кодекса Российской Федерации</w:t>
      </w:r>
      <w:r w:rsidR="009F3F2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3F48E4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частью 3 статьи 7 Федерального закона от 06.12.2011 № 402-ФЗ «О бухгалтерском учете», </w:t>
      </w:r>
      <w:r w:rsidRPr="003F48E4">
        <w:rPr>
          <w:rFonts w:ascii="Times New Roman" w:eastAsiaTheme="minorHAnsi" w:hAnsi="Times New Roman"/>
          <w:sz w:val="28"/>
          <w:szCs w:val="28"/>
        </w:rPr>
        <w:t>УКС Суксунского городского округа закл</w:t>
      </w:r>
      <w:r w:rsidRPr="003F48E4">
        <w:rPr>
          <w:rFonts w:ascii="Times New Roman" w:eastAsiaTheme="minorHAnsi" w:hAnsi="Times New Roman"/>
          <w:sz w:val="28"/>
          <w:szCs w:val="28"/>
        </w:rPr>
        <w:t>ю</w:t>
      </w:r>
      <w:r w:rsidRPr="003F48E4">
        <w:rPr>
          <w:rFonts w:ascii="Times New Roman" w:eastAsiaTheme="minorHAnsi" w:hAnsi="Times New Roman"/>
          <w:sz w:val="28"/>
          <w:szCs w:val="28"/>
        </w:rPr>
        <w:t>чено Соглашение об оказании услуг по ведению бюджетного, налогового, стат</w:t>
      </w:r>
      <w:r w:rsidRPr="003F48E4">
        <w:rPr>
          <w:rFonts w:ascii="Times New Roman" w:eastAsiaTheme="minorHAnsi" w:hAnsi="Times New Roman"/>
          <w:sz w:val="28"/>
          <w:szCs w:val="28"/>
        </w:rPr>
        <w:t>и</w:t>
      </w:r>
      <w:r w:rsidRPr="003F48E4">
        <w:rPr>
          <w:rFonts w:ascii="Times New Roman" w:eastAsiaTheme="minorHAnsi" w:hAnsi="Times New Roman"/>
          <w:sz w:val="28"/>
          <w:szCs w:val="28"/>
        </w:rPr>
        <w:t>стического учета, планирования бюджетной сметы, составления отчетности от 13.01.2020 № 7 с Муниципальным казенным учреждением «Централизованная бухгалтерия Суксунского городского округа Пермского края» (</w:t>
      </w:r>
      <w:r w:rsidR="00D06F84">
        <w:rPr>
          <w:rFonts w:ascii="Times New Roman" w:eastAsiaTheme="minorHAnsi" w:hAnsi="Times New Roman"/>
          <w:sz w:val="28"/>
          <w:szCs w:val="28"/>
        </w:rPr>
        <w:t>д</w:t>
      </w:r>
      <w:r w:rsidRPr="003F48E4">
        <w:rPr>
          <w:rFonts w:ascii="Times New Roman" w:eastAsiaTheme="minorHAnsi" w:hAnsi="Times New Roman"/>
          <w:sz w:val="28"/>
          <w:szCs w:val="28"/>
        </w:rPr>
        <w:t>алее – МКУ</w:t>
      </w:r>
      <w:proofErr w:type="gramEnd"/>
      <w:r w:rsidRPr="003F48E4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Pr="003F48E4">
        <w:rPr>
          <w:rFonts w:ascii="Times New Roman" w:eastAsiaTheme="minorHAnsi" w:hAnsi="Times New Roman"/>
          <w:sz w:val="28"/>
          <w:szCs w:val="28"/>
        </w:rPr>
        <w:t>ЦБ Суксунского городского округа»).</w:t>
      </w:r>
      <w:proofErr w:type="gramEnd"/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E4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F48E4">
        <w:rPr>
          <w:rFonts w:ascii="Times New Roman" w:hAnsi="Times New Roman"/>
          <w:sz w:val="28"/>
          <w:szCs w:val="28"/>
        </w:rPr>
        <w:t>д</w:t>
      </w:r>
      <w:r w:rsidRPr="003F48E4">
        <w:rPr>
          <w:rFonts w:ascii="Times New Roman" w:hAnsi="Times New Roman"/>
          <w:sz w:val="28"/>
          <w:szCs w:val="28"/>
        </w:rPr>
        <w:lastRenderedPageBreak/>
        <w:t>писи бюджетной отчетности Управления капитального строительства за 2020</w:t>
      </w:r>
      <w:r w:rsidR="00A216C3">
        <w:rPr>
          <w:rFonts w:ascii="Times New Roman" w:hAnsi="Times New Roman"/>
          <w:sz w:val="28"/>
          <w:szCs w:val="28"/>
        </w:rPr>
        <w:t xml:space="preserve"> </w:t>
      </w:r>
      <w:r w:rsidRPr="003F48E4">
        <w:rPr>
          <w:rFonts w:ascii="Times New Roman" w:hAnsi="Times New Roman"/>
          <w:sz w:val="28"/>
          <w:szCs w:val="28"/>
        </w:rPr>
        <w:t>г</w:t>
      </w:r>
      <w:r w:rsidR="00A216C3">
        <w:rPr>
          <w:rFonts w:ascii="Times New Roman" w:hAnsi="Times New Roman"/>
          <w:sz w:val="28"/>
          <w:szCs w:val="28"/>
        </w:rPr>
        <w:t>од</w:t>
      </w:r>
      <w:r w:rsidRPr="003F48E4">
        <w:rPr>
          <w:rFonts w:ascii="Times New Roman" w:hAnsi="Times New Roman"/>
          <w:sz w:val="28"/>
          <w:szCs w:val="28"/>
        </w:rPr>
        <w:t xml:space="preserve"> имеют:</w:t>
      </w:r>
    </w:p>
    <w:p w:rsidR="003F48E4" w:rsidRPr="003F48E4" w:rsidRDefault="009F3F20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20">
        <w:rPr>
          <w:rFonts w:ascii="Times New Roman" w:hAnsi="Times New Roman"/>
          <w:iCs/>
          <w:sz w:val="28"/>
          <w:szCs w:val="28"/>
        </w:rPr>
        <w:t>-</w:t>
      </w:r>
      <w:r w:rsidR="003F48E4" w:rsidRPr="009F3F20">
        <w:rPr>
          <w:rFonts w:ascii="Times New Roman" w:hAnsi="Times New Roman"/>
          <w:iCs/>
          <w:sz w:val="28"/>
          <w:szCs w:val="28"/>
        </w:rPr>
        <w:t xml:space="preserve"> начальник</w:t>
      </w:r>
      <w:r w:rsidR="003F48E4" w:rsidRPr="003F48E4">
        <w:rPr>
          <w:rFonts w:ascii="Times New Roman" w:hAnsi="Times New Roman"/>
          <w:iCs/>
          <w:sz w:val="28"/>
          <w:szCs w:val="28"/>
        </w:rPr>
        <w:t xml:space="preserve"> </w:t>
      </w:r>
      <w:r w:rsidR="003F48E4" w:rsidRPr="003F48E4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Су</w:t>
      </w:r>
      <w:r w:rsidR="003F48E4" w:rsidRPr="003F48E4">
        <w:rPr>
          <w:rFonts w:ascii="Times New Roman" w:hAnsi="Times New Roman"/>
          <w:sz w:val="28"/>
          <w:szCs w:val="28"/>
        </w:rPr>
        <w:t>к</w:t>
      </w:r>
      <w:r w:rsidR="003F48E4" w:rsidRPr="003F48E4">
        <w:rPr>
          <w:rFonts w:ascii="Times New Roman" w:hAnsi="Times New Roman"/>
          <w:sz w:val="28"/>
          <w:szCs w:val="28"/>
        </w:rPr>
        <w:t>сунского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E4">
        <w:rPr>
          <w:rFonts w:ascii="Times New Roman" w:hAnsi="Times New Roman"/>
          <w:sz w:val="28"/>
          <w:szCs w:val="28"/>
        </w:rPr>
        <w:t>- руководитель МКУ «ЦБ Суксунског</w:t>
      </w:r>
      <w:r w:rsidR="000702E3">
        <w:rPr>
          <w:rFonts w:ascii="Times New Roman" w:hAnsi="Times New Roman"/>
          <w:sz w:val="28"/>
          <w:szCs w:val="28"/>
        </w:rPr>
        <w:t>о городского округа»</w:t>
      </w:r>
      <w:r w:rsidR="009F3F20">
        <w:rPr>
          <w:rFonts w:ascii="Times New Roman" w:hAnsi="Times New Roman"/>
          <w:sz w:val="28"/>
          <w:szCs w:val="28"/>
        </w:rPr>
        <w:t>;</w:t>
      </w:r>
    </w:p>
    <w:p w:rsidR="003F48E4" w:rsidRPr="003F48E4" w:rsidRDefault="003F48E4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E4">
        <w:rPr>
          <w:rFonts w:ascii="Times New Roman" w:hAnsi="Times New Roman"/>
          <w:sz w:val="28"/>
          <w:szCs w:val="28"/>
        </w:rPr>
        <w:t>- главный бухгалтер МКУ «ЦБ Суксунского городского ок</w:t>
      </w:r>
      <w:r w:rsidR="000702E3">
        <w:rPr>
          <w:rFonts w:ascii="Times New Roman" w:hAnsi="Times New Roman"/>
          <w:sz w:val="28"/>
          <w:szCs w:val="28"/>
        </w:rPr>
        <w:t>руга»</w:t>
      </w:r>
      <w:r w:rsidRPr="003F48E4">
        <w:rPr>
          <w:rFonts w:ascii="Times New Roman" w:hAnsi="Times New Roman"/>
          <w:sz w:val="28"/>
          <w:szCs w:val="28"/>
        </w:rPr>
        <w:t>.</w:t>
      </w:r>
    </w:p>
    <w:p w:rsidR="00233452" w:rsidRPr="00945101" w:rsidRDefault="00233452" w:rsidP="009F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9F3F20" w:rsidRDefault="009F3F20" w:rsidP="009F3F20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9F3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9F3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9F3F2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6759CB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19.12.2019 № 65 «О бюджете Суксунского г</w:t>
      </w:r>
      <w:r w:rsidRPr="006759CB">
        <w:rPr>
          <w:rFonts w:ascii="Times New Roman" w:eastAsiaTheme="minorHAnsi" w:hAnsi="Times New Roman"/>
          <w:sz w:val="28"/>
          <w:szCs w:val="28"/>
        </w:rPr>
        <w:t>о</w:t>
      </w:r>
      <w:r w:rsidRPr="006759CB">
        <w:rPr>
          <w:rFonts w:ascii="Times New Roman" w:eastAsiaTheme="minorHAnsi" w:hAnsi="Times New Roman"/>
          <w:sz w:val="28"/>
          <w:szCs w:val="28"/>
        </w:rPr>
        <w:t>родского округа на 2020 год и на плановый период 2021 и 2022 годов»</w:t>
      </w:r>
      <w:r w:rsidR="00272589">
        <w:rPr>
          <w:rFonts w:ascii="Times New Roman" w:eastAsiaTheme="minorHAnsi" w:hAnsi="Times New Roman"/>
          <w:sz w:val="28"/>
          <w:szCs w:val="28"/>
        </w:rPr>
        <w:t xml:space="preserve"> (далее – Решение о бюджете)</w:t>
      </w:r>
      <w:r w:rsidRPr="006759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средств, главного администратора доходов бюджета.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капитального строительства за 2020 год сформирована единым ко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плектом по совокупности выполняемых 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полномочий.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капитального строительства за 2020 год представлена в составе, предусмотренном подпунктом 11.1 пункта 11</w:t>
      </w:r>
      <w:r w:rsidRPr="006759C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6759CB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6759CB">
        <w:rPr>
          <w:rFonts w:ascii="Times New Roman" w:eastAsiaTheme="minorHAnsi" w:hAnsi="Times New Roman"/>
          <w:sz w:val="28"/>
          <w:szCs w:val="28"/>
        </w:rPr>
        <w:t>о</w:t>
      </w:r>
      <w:r w:rsidRPr="006759CB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6759CB">
        <w:rPr>
          <w:rFonts w:ascii="Times New Roman" w:eastAsiaTheme="minorHAnsi" w:hAnsi="Times New Roman"/>
          <w:sz w:val="28"/>
          <w:szCs w:val="28"/>
        </w:rPr>
        <w:t>и</w:t>
      </w:r>
      <w:r w:rsidRPr="006759CB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- пояснительную записку в составе: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6759CB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6759CB" w:rsidRPr="006759CB" w:rsidRDefault="006759CB" w:rsidP="00B2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6759CB" w:rsidRPr="006759CB" w:rsidRDefault="006759CB" w:rsidP="00B2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6759CB" w:rsidRPr="006759CB" w:rsidRDefault="006759CB" w:rsidP="00B2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дебиторской и кредиторской задолженности (ф. 0503169) (вид </w:t>
      </w:r>
      <w:r w:rsidRPr="00675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задолженности – кредиторская задолженность);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6759CB">
        <w:rPr>
          <w:rFonts w:ascii="Times New Roman" w:eastAsiaTheme="minorHAnsi" w:hAnsi="Times New Roman"/>
          <w:sz w:val="28"/>
          <w:szCs w:val="28"/>
        </w:rPr>
        <w:t>т</w:t>
      </w:r>
      <w:r w:rsidRPr="006759CB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9" w:history="1">
        <w:r w:rsidRPr="006759CB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6759CB">
        <w:rPr>
          <w:rFonts w:ascii="Times New Roman" w:eastAsiaTheme="minorHAnsi" w:hAnsi="Times New Roman"/>
          <w:sz w:val="28"/>
          <w:szCs w:val="28"/>
        </w:rPr>
        <w:t>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59CB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6759CB" w:rsidRPr="006759CB" w:rsidRDefault="006759CB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59CB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6759CB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6759CB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700586" w:rsidRDefault="004B6BBA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9F3F20" w:rsidRDefault="009F3F20" w:rsidP="009F3F20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9F3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3B3FAB" w:rsidRPr="009F3F20">
        <w:rPr>
          <w:rFonts w:ascii="Times New Roman" w:hAnsi="Times New Roman"/>
          <w:b/>
          <w:sz w:val="28"/>
          <w:szCs w:val="28"/>
        </w:rPr>
        <w:t>Управлением капитального строительства</w:t>
      </w:r>
      <w:r w:rsidR="00CB64AB" w:rsidRPr="009F3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9F3F2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F70" w:rsidRPr="00AE5F70" w:rsidRDefault="00AE5F70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Управлением капитального стро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тельства закреплены доходы бюджета на 2020 год в сумме 135 164,91 тыс. рублей, что подтверждается Бюджетной росписью доходов Суксунского городского окр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га на 2020 год и плановый период 2021 и 2022 годов.</w:t>
      </w:r>
    </w:p>
    <w:p w:rsidR="00AE5F70" w:rsidRPr="00AE5F70" w:rsidRDefault="00AE5F70" w:rsidP="009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(далее – Отчет об исполнении бюджета (ф. 0503127)) фактическое исполнение по доходам за 2020 год составило 122 535 236,39 руб</w:t>
      </w:r>
      <w:r w:rsidR="008158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, или 90,66% утвержденных бюджетных назн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5F70">
        <w:rPr>
          <w:rFonts w:ascii="Times New Roman" w:eastAsia="Times New Roman" w:hAnsi="Times New Roman"/>
          <w:sz w:val="28"/>
          <w:szCs w:val="28"/>
          <w:lang w:eastAsia="ru-RU"/>
        </w:rPr>
        <w:t>чений:</w:t>
      </w:r>
      <w:proofErr w:type="gramEnd"/>
    </w:p>
    <w:p w:rsidR="00976B0E" w:rsidRPr="001A7079" w:rsidRDefault="00976B0E" w:rsidP="00E04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44"/>
        <w:gridCol w:w="1844"/>
        <w:gridCol w:w="1701"/>
        <w:gridCol w:w="990"/>
      </w:tblGrid>
      <w:tr w:rsidR="00AE5F70" w:rsidRPr="00AE5F70" w:rsidTr="00765940">
        <w:trPr>
          <w:tblHeader/>
        </w:trPr>
        <w:tc>
          <w:tcPr>
            <w:tcW w:w="286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</w:t>
            </w:r>
          </w:p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Неисполне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чения,</w:t>
            </w:r>
          </w:p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  <w:r w:rsidR="00765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AE5F70" w:rsidRPr="00AE5F70" w:rsidTr="00765940">
        <w:trPr>
          <w:tblHeader/>
        </w:trPr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районов на софинансирование кап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тальных вложений в об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екты муниципальной со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13 723 610,49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8 394 409,84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5 329 200, 65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61,17</w:t>
            </w:r>
          </w:p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реал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программ форм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современной г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8 242 593,60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8 164 828,62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77 764,98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99,06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обе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комплексного развития сельских терр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9 139 954,71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9 132 045,69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7 909,02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соф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нансирование капитал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вложений в объекты муниципальной собстве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4 926 223,32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4 926 223,32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городских округов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96 750 853,60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90 339 420,33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6 411 433,27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93,37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бюджетам городских окр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2 135 074,30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2 135 074,30</w:t>
            </w:r>
          </w:p>
        </w:tc>
        <w:tc>
          <w:tcPr>
            <w:tcW w:w="857" w:type="pct"/>
          </w:tcPr>
          <w:p w:rsidR="00AE5F70" w:rsidRPr="00AE5F70" w:rsidRDefault="00AE5F70" w:rsidP="0076594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246 602,59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246 602,59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шлых лет из бюджетов городских округов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-803 368,30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F70" w:rsidRPr="00AE5F70" w:rsidTr="00765940">
        <w:tc>
          <w:tcPr>
            <w:tcW w:w="286" w:type="pct"/>
          </w:tcPr>
          <w:p w:rsidR="00AE5F70" w:rsidRPr="00AE5F70" w:rsidRDefault="00AE5F70" w:rsidP="00AE5F7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AE5F70" w:rsidRPr="00AE5F70" w:rsidRDefault="00AE5F70" w:rsidP="00AE5F7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135 164 912,61</w:t>
            </w:r>
          </w:p>
        </w:tc>
        <w:tc>
          <w:tcPr>
            <w:tcW w:w="92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122 535 236,39</w:t>
            </w:r>
          </w:p>
        </w:tc>
        <w:tc>
          <w:tcPr>
            <w:tcW w:w="857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11 826 307,92</w:t>
            </w:r>
          </w:p>
        </w:tc>
        <w:tc>
          <w:tcPr>
            <w:tcW w:w="499" w:type="pct"/>
          </w:tcPr>
          <w:p w:rsidR="00AE5F70" w:rsidRPr="00AE5F70" w:rsidRDefault="00AE5F70" w:rsidP="00AE5F7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90,66</w:t>
            </w:r>
          </w:p>
        </w:tc>
      </w:tr>
    </w:tbl>
    <w:p w:rsidR="0026163A" w:rsidRDefault="0026163A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76B0E" w:rsidRPr="0026163A" w:rsidRDefault="0026163A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163A">
        <w:rPr>
          <w:rFonts w:ascii="Times New Roman" w:hAnsi="Times New Roman"/>
          <w:sz w:val="28"/>
          <w:szCs w:val="28"/>
        </w:rPr>
        <w:t xml:space="preserve">Наибольшее неисполнение допущено по субсидиям </w:t>
      </w:r>
      <w:r w:rsidRPr="0026163A">
        <w:rPr>
          <w:rFonts w:ascii="Times New Roman" w:hAnsi="Times New Roman"/>
          <w:color w:val="000000"/>
          <w:sz w:val="28"/>
          <w:szCs w:val="28"/>
        </w:rPr>
        <w:t>бюджетам муниципал</w:t>
      </w:r>
      <w:r w:rsidRPr="0026163A">
        <w:rPr>
          <w:rFonts w:ascii="Times New Roman" w:hAnsi="Times New Roman"/>
          <w:color w:val="000000"/>
          <w:sz w:val="28"/>
          <w:szCs w:val="28"/>
        </w:rPr>
        <w:t>ь</w:t>
      </w:r>
      <w:r w:rsidRPr="0026163A">
        <w:rPr>
          <w:rFonts w:ascii="Times New Roman" w:hAnsi="Times New Roman"/>
          <w:color w:val="000000"/>
          <w:sz w:val="28"/>
          <w:szCs w:val="28"/>
        </w:rPr>
        <w:t>ных районов на софинансирование капитальных вложений в объекты муниц</w:t>
      </w:r>
      <w:r w:rsidRPr="0026163A">
        <w:rPr>
          <w:rFonts w:ascii="Times New Roman" w:hAnsi="Times New Roman"/>
          <w:color w:val="000000"/>
          <w:sz w:val="28"/>
          <w:szCs w:val="28"/>
        </w:rPr>
        <w:t>и</w:t>
      </w:r>
      <w:r w:rsidRPr="0026163A">
        <w:rPr>
          <w:rFonts w:ascii="Times New Roman" w:hAnsi="Times New Roman"/>
          <w:color w:val="000000"/>
          <w:sz w:val="28"/>
          <w:szCs w:val="28"/>
        </w:rPr>
        <w:t>пальной собственности</w:t>
      </w:r>
      <w:r w:rsidRPr="0026163A">
        <w:rPr>
          <w:rFonts w:ascii="Times New Roman" w:hAnsi="Times New Roman"/>
          <w:sz w:val="28"/>
          <w:szCs w:val="28"/>
        </w:rPr>
        <w:t xml:space="preserve"> – 5 329 200,65</w:t>
      </w:r>
      <w:r w:rsidRPr="00272589">
        <w:rPr>
          <w:rFonts w:ascii="Times New Roman" w:hAnsi="Times New Roman"/>
          <w:sz w:val="28"/>
          <w:szCs w:val="28"/>
        </w:rPr>
        <w:t xml:space="preserve"> </w:t>
      </w:r>
      <w:r w:rsidRPr="0026163A">
        <w:rPr>
          <w:rFonts w:ascii="Times New Roman" w:hAnsi="Times New Roman"/>
          <w:sz w:val="28"/>
          <w:szCs w:val="28"/>
        </w:rPr>
        <w:t>руб.</w:t>
      </w:r>
      <w:r w:rsidR="00272589">
        <w:rPr>
          <w:rFonts w:ascii="Times New Roman" w:hAnsi="Times New Roman"/>
          <w:sz w:val="28"/>
          <w:szCs w:val="28"/>
        </w:rPr>
        <w:t>,</w:t>
      </w:r>
      <w:r w:rsidRPr="0026163A">
        <w:rPr>
          <w:rFonts w:ascii="Times New Roman" w:hAnsi="Times New Roman"/>
          <w:sz w:val="28"/>
          <w:szCs w:val="28"/>
        </w:rPr>
        <w:t xml:space="preserve"> или </w:t>
      </w:r>
      <w:r w:rsidR="00765940">
        <w:rPr>
          <w:rFonts w:ascii="Times New Roman" w:hAnsi="Times New Roman"/>
          <w:sz w:val="28"/>
          <w:szCs w:val="28"/>
        </w:rPr>
        <w:t xml:space="preserve">на </w:t>
      </w:r>
      <w:r w:rsidRPr="0026163A">
        <w:rPr>
          <w:rFonts w:ascii="Times New Roman" w:hAnsi="Times New Roman"/>
          <w:sz w:val="28"/>
          <w:szCs w:val="28"/>
        </w:rPr>
        <w:t>38,83%.</w:t>
      </w:r>
    </w:p>
    <w:p w:rsidR="0026163A" w:rsidRDefault="0026163A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272589" w:rsidRDefault="00272589" w:rsidP="00272589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272589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272589">
        <w:rPr>
          <w:rFonts w:ascii="Times New Roman" w:hAnsi="Times New Roman"/>
          <w:b/>
          <w:bCs/>
          <w:sz w:val="28"/>
          <w:szCs w:val="28"/>
        </w:rPr>
        <w:t xml:space="preserve">Управлению </w:t>
      </w:r>
      <w:r w:rsidR="004C74C2" w:rsidRPr="00272589">
        <w:rPr>
          <w:rFonts w:ascii="Times New Roman" w:hAnsi="Times New Roman"/>
          <w:b/>
          <w:bCs/>
          <w:sz w:val="28"/>
          <w:szCs w:val="28"/>
        </w:rPr>
        <w:t>капитального строительства</w:t>
      </w:r>
      <w:r w:rsidR="00BA00AC" w:rsidRPr="00272589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="00DD7953" w:rsidRPr="00272589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3250FE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3CC6" w:rsidRPr="00D63CC6" w:rsidRDefault="00D63CC6" w:rsidP="00D63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в 2020 году в соответствии с Решен</w:t>
      </w: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ем о</w:t>
      </w:r>
      <w:r w:rsidRPr="00D63CC6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</w:t>
      </w: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63CC6">
        <w:rPr>
          <w:rFonts w:ascii="Times New Roman" w:eastAsia="Times New Roman" w:hAnsi="Times New Roman"/>
          <w:sz w:val="28"/>
          <w:szCs w:val="28"/>
          <w:lang w:eastAsia="ru-RU"/>
        </w:rPr>
        <w:t>щим разделам классификации расходов бюджета:</w:t>
      </w:r>
    </w:p>
    <w:p w:rsidR="00D8279A" w:rsidRPr="00B81687" w:rsidRDefault="00D8279A" w:rsidP="00B8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B14C0D" w:rsidRPr="00B14C0D" w:rsidRDefault="00B14C0D" w:rsidP="000923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</w:t>
            </w:r>
            <w:r w:rsidR="00092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14C0D" w:rsidRPr="00272589" w:rsidTr="005E0DA0">
        <w:tc>
          <w:tcPr>
            <w:tcW w:w="709" w:type="dxa"/>
          </w:tcPr>
          <w:p w:rsidR="00B14C0D" w:rsidRPr="00272589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5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14C0D" w:rsidRPr="00272589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5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14C0D" w:rsidRPr="00272589" w:rsidRDefault="00B14C0D" w:rsidP="00B14C0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5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«Национальная безопасность и правоохранительная де</w:t>
            </w: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2693" w:type="dxa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150,31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«Национальная экономика»</w:t>
            </w:r>
          </w:p>
        </w:tc>
        <w:tc>
          <w:tcPr>
            <w:tcW w:w="2693" w:type="dxa"/>
            <w:shd w:val="clear" w:color="auto" w:fill="auto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146 146,66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«Жилищно-коммунальное хозяйство»</w:t>
            </w:r>
          </w:p>
        </w:tc>
        <w:tc>
          <w:tcPr>
            <w:tcW w:w="2693" w:type="dxa"/>
            <w:shd w:val="clear" w:color="auto" w:fill="auto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50 159,66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2693" w:type="dxa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8 062,37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«Культура, кинематография»</w:t>
            </w:r>
          </w:p>
        </w:tc>
        <w:tc>
          <w:tcPr>
            <w:tcW w:w="2693" w:type="dxa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971,75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«Здравоохранение»</w:t>
            </w:r>
          </w:p>
        </w:tc>
        <w:tc>
          <w:tcPr>
            <w:tcW w:w="2693" w:type="dxa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2 140,07</w:t>
            </w:r>
          </w:p>
        </w:tc>
      </w:tr>
      <w:tr w:rsidR="00B14C0D" w:rsidRPr="00B14C0D" w:rsidTr="005E0DA0">
        <w:tc>
          <w:tcPr>
            <w:tcW w:w="709" w:type="dxa"/>
          </w:tcPr>
          <w:p w:rsidR="00B14C0D" w:rsidRPr="00B14C0D" w:rsidRDefault="00B14C0D" w:rsidP="00B14C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14C0D" w:rsidRPr="00B14C0D" w:rsidRDefault="00B14C0D" w:rsidP="002725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272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693" w:type="dxa"/>
            <w:shd w:val="clear" w:color="auto" w:fill="auto"/>
          </w:tcPr>
          <w:p w:rsidR="00B14C0D" w:rsidRPr="00B14C0D" w:rsidRDefault="00B14C0D" w:rsidP="00B14C0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14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207 630,82</w:t>
            </w:r>
          </w:p>
        </w:tc>
      </w:tr>
    </w:tbl>
    <w:p w:rsidR="00D83A15" w:rsidRPr="00A3335A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F05" w:rsidRPr="003A6F05" w:rsidRDefault="003A6F05" w:rsidP="003A6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F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данным Отчета об исполнении бюджета (ф. 0503127) фактическое исполнение по расходам за 2020 год составило 190 078 167,52 руб.</w:t>
      </w:r>
    </w:p>
    <w:p w:rsidR="00D83A15" w:rsidRDefault="00D83A15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2"/>
        <w:gridCol w:w="1843"/>
      </w:tblGrid>
      <w:tr w:rsidR="003A6F05" w:rsidRPr="003A6F05" w:rsidTr="005E0DA0">
        <w:trPr>
          <w:trHeight w:val="1503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 бюджетные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назначения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уточненной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росписи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2020 год,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3A6F05" w:rsidRPr="003A6F05" w:rsidRDefault="003A6F05" w:rsidP="003A6F05">
            <w:pPr>
              <w:spacing w:after="0" w:line="200" w:lineRule="exact"/>
              <w:ind w:hanging="1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2020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году,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Отклонения от утвержденных бюджетных назначений,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(гр.3-гр.4)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Расходов,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%,</w:t>
            </w:r>
          </w:p>
          <w:p w:rsidR="003A6F05" w:rsidRPr="003A6F05" w:rsidRDefault="003A6F05" w:rsidP="003A6F0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(гр.3/гр.2*100)</w:t>
            </w:r>
          </w:p>
        </w:tc>
      </w:tr>
      <w:tr w:rsidR="003A6F05" w:rsidRPr="003250FE" w:rsidTr="005E0DA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6F05" w:rsidRPr="003250FE" w:rsidRDefault="003A6F05" w:rsidP="003A6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0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250FE" w:rsidRDefault="003A6F05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0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250FE" w:rsidRDefault="003A6F05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0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250FE" w:rsidRDefault="003A6F05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0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250FE" w:rsidRDefault="003A6F05" w:rsidP="003A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0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A6F05" w:rsidRPr="003A6F05" w:rsidTr="005E0DA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правоохранител</w:t>
            </w: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150 307,81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150 307,81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25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F05" w:rsidRPr="003A6F05" w:rsidTr="005E0DA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146 146 653,09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134 075 877,47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12 070 775,62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91,74</w:t>
            </w:r>
          </w:p>
        </w:tc>
      </w:tr>
      <w:tr w:rsidR="003A6F05" w:rsidRPr="003A6F05" w:rsidTr="005E0DA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50 159 654,01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44 682 714,82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5 476 939,19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89,08</w:t>
            </w:r>
          </w:p>
        </w:tc>
      </w:tr>
      <w:tr w:rsidR="003A6F05" w:rsidRPr="003A6F05" w:rsidTr="005E0DA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8 062 372,01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8 062 372,01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25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F05" w:rsidRPr="003A6F05" w:rsidTr="005E0DA0">
        <w:trPr>
          <w:trHeight w:val="362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971 754,74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971 754,74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25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F05" w:rsidRPr="003A6F05" w:rsidTr="005E0DA0">
        <w:trPr>
          <w:trHeight w:val="362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2 140 074,30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2 135 140,67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4 933,63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99,77</w:t>
            </w:r>
          </w:p>
        </w:tc>
      </w:tr>
      <w:tr w:rsidR="003A6F05" w:rsidRPr="003A6F05" w:rsidTr="005E0DA0">
        <w:trPr>
          <w:trHeight w:val="272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6F05" w:rsidRPr="003A6F05" w:rsidRDefault="003A6F05" w:rsidP="003A6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207 630 815,96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190 078 167,52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17 552 648,44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05" w:rsidRPr="003A6F05" w:rsidRDefault="003A6F05" w:rsidP="0032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91,55</w:t>
            </w:r>
          </w:p>
        </w:tc>
      </w:tr>
    </w:tbl>
    <w:p w:rsidR="001A7079" w:rsidRPr="001D1470" w:rsidRDefault="001A7079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F4A" w:rsidRPr="009E2F4A" w:rsidRDefault="009E2F4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Выполнение расходной части составляет 91,55% утвержденных бюджетных назначений на 2020 год.</w:t>
      </w:r>
    </w:p>
    <w:p w:rsidR="009E2F4A" w:rsidRPr="009E2F4A" w:rsidRDefault="009E2F4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Неисполнение по расходам составило 17 552 648,44 руб., или 8,45%.</w:t>
      </w:r>
    </w:p>
    <w:p w:rsidR="009E2F4A" w:rsidRPr="009E2F4A" w:rsidRDefault="009E2F4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Неисполнение утвержденных бюджетных назначений по разделу «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 xml:space="preserve">но-коммунальное хозяйство» 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произошло 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в связи с поэтапной оплатой работ в с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ответствии с условиями заключенных муниципальных контрактов. Низкое испо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нение утвержденных бюджетных назначений по разделу «Национальная экон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 xml:space="preserve">мика» 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сложилось 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в связи с нарушением подрядными организациями сроков и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>и иных условий контрактов, повлекш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E2F4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судебные процедуры.</w:t>
      </w:r>
    </w:p>
    <w:p w:rsidR="001D1470" w:rsidRPr="001D1470" w:rsidRDefault="001D1470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272589" w:rsidRDefault="00272589" w:rsidP="00272589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272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272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272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272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272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272589" w:rsidRDefault="0065098D" w:rsidP="002725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2589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272589">
        <w:rPr>
          <w:rFonts w:ascii="Times New Roman" w:eastAsiaTheme="minorHAnsi" w:hAnsi="Times New Roman"/>
          <w:sz w:val="28"/>
          <w:szCs w:val="28"/>
        </w:rPr>
        <w:t>е</w:t>
      </w:r>
      <w:r w:rsidRPr="00272589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272589">
        <w:rPr>
          <w:rFonts w:ascii="Times New Roman" w:eastAsiaTheme="minorHAnsi" w:hAnsi="Times New Roman"/>
          <w:sz w:val="28"/>
          <w:szCs w:val="28"/>
        </w:rPr>
        <w:t>,</w:t>
      </w:r>
      <w:r w:rsidRPr="00272589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272589">
        <w:rPr>
          <w:rFonts w:ascii="Times New Roman" w:eastAsiaTheme="minorHAnsi" w:hAnsi="Times New Roman"/>
          <w:sz w:val="28"/>
          <w:szCs w:val="28"/>
        </w:rPr>
        <w:t>п</w:t>
      </w:r>
      <w:r w:rsidRPr="00272589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2589">
        <w:rPr>
          <w:rFonts w:ascii="Times New Roman" w:eastAsiaTheme="minorHAnsi" w:hAnsi="Times New Roman"/>
          <w:sz w:val="28"/>
          <w:szCs w:val="28"/>
        </w:rPr>
        <w:t xml:space="preserve">Управлению капитального строительства установлена дата представления и сдачи отчета </w:t>
      </w:r>
      <w:r w:rsidR="00272589">
        <w:rPr>
          <w:rFonts w:ascii="Times New Roman" w:eastAsiaTheme="minorHAnsi" w:hAnsi="Times New Roman"/>
          <w:sz w:val="28"/>
          <w:szCs w:val="28"/>
        </w:rPr>
        <w:t>–</w:t>
      </w:r>
      <w:r w:rsidRPr="00272589">
        <w:rPr>
          <w:rFonts w:ascii="Times New Roman" w:eastAsiaTheme="minorHAnsi" w:hAnsi="Times New Roman"/>
          <w:sz w:val="28"/>
          <w:szCs w:val="28"/>
        </w:rPr>
        <w:t xml:space="preserve"> 14.01.2021.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2589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2589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272589">
        <w:rPr>
          <w:rFonts w:ascii="Times New Roman" w:eastAsiaTheme="minorHAnsi" w:hAnsi="Times New Roman"/>
          <w:sz w:val="28"/>
          <w:szCs w:val="28"/>
        </w:rPr>
        <w:t>т</w:t>
      </w:r>
      <w:r w:rsidRPr="00272589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iCs/>
          <w:sz w:val="28"/>
          <w:szCs w:val="28"/>
        </w:rPr>
        <w:t xml:space="preserve">- начальником </w:t>
      </w:r>
      <w:r w:rsidRPr="00272589">
        <w:rPr>
          <w:rFonts w:ascii="Times New Roman" w:hAnsi="Times New Roman"/>
          <w:sz w:val="28"/>
          <w:szCs w:val="28"/>
        </w:rPr>
        <w:t xml:space="preserve">Управления капитального строительства Администрации </w:t>
      </w:r>
      <w:r w:rsidRPr="00272589">
        <w:rPr>
          <w:rFonts w:ascii="Times New Roman" w:hAnsi="Times New Roman"/>
          <w:sz w:val="28"/>
          <w:szCs w:val="28"/>
        </w:rPr>
        <w:lastRenderedPageBreak/>
        <w:t>Суксунского городского округа Пермского края</w:t>
      </w:r>
      <w:r w:rsid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</w:t>
      </w:r>
      <w:r w:rsid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- главным бухгалтером МКУ «ЦБ Суксунского городского округа».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272589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капитального строительства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 0503130)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и конец 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</w:t>
      </w:r>
      <w:r w:rsidR="009B1E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отраженными в Сведениях о движении нефинансовых активов (ф. 0503168).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</w:t>
      </w:r>
      <w:r w:rsidR="009B1E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</w:t>
      </w:r>
      <w:r w:rsidR="009B1E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отраженными в Св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2021 года подтверждаются данными Справки по закл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272589">
        <w:rPr>
          <w:rFonts w:ascii="Times New Roman" w:hAnsi="Times New Roman"/>
          <w:sz w:val="28"/>
          <w:szCs w:val="28"/>
        </w:rPr>
        <w:t>е</w:t>
      </w:r>
      <w:r w:rsidRPr="00272589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272589">
        <w:rPr>
          <w:rFonts w:ascii="Times New Roman" w:hAnsi="Times New Roman"/>
          <w:sz w:val="28"/>
          <w:szCs w:val="28"/>
        </w:rPr>
        <w:t>е</w:t>
      </w:r>
      <w:r w:rsidRPr="00272589">
        <w:rPr>
          <w:rFonts w:ascii="Times New Roman" w:hAnsi="Times New Roman"/>
          <w:sz w:val="28"/>
          <w:szCs w:val="28"/>
        </w:rPr>
        <w:t>рации.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272589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122 535 236,39 руб.</w:t>
      </w:r>
    </w:p>
    <w:p w:rsidR="000D4FCA" w:rsidRPr="00272589" w:rsidRDefault="000D4FCA" w:rsidP="0022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0D4FCA" w:rsidRPr="00272589" w:rsidRDefault="000D4FCA" w:rsidP="0022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2020 год отражены в сумме 207 630 815,96 руб. Исполнение бюджета главного распорядителя в целом по расходам в 2020 году составило 190 078 167,52 руб., или 91,55% утвержденных бюджетных назначений.</w:t>
      </w:r>
    </w:p>
    <w:p w:rsidR="000D4FCA" w:rsidRPr="00272589" w:rsidRDefault="000D4FCA" w:rsidP="0022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2020 год с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ставило 17 552 648,44 руб.</w:t>
      </w:r>
    </w:p>
    <w:p w:rsidR="000D4FCA" w:rsidRPr="00272589" w:rsidRDefault="000D4FCA" w:rsidP="0022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 показателей </w:t>
      </w:r>
      <w:r w:rsidRPr="00272589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0D4FCA" w:rsidRPr="00272589" w:rsidRDefault="000D4FCA" w:rsidP="0022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272589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272589">
        <w:rPr>
          <w:rFonts w:ascii="Times New Roman" w:hAnsi="Times New Roman"/>
          <w:sz w:val="28"/>
          <w:szCs w:val="28"/>
        </w:rPr>
        <w:t>ы</w:t>
      </w:r>
      <w:r w:rsidRPr="00272589">
        <w:rPr>
          <w:rFonts w:ascii="Times New Roman" w:hAnsi="Times New Roman"/>
          <w:sz w:val="28"/>
          <w:szCs w:val="28"/>
        </w:rPr>
        <w:t>явлен</w:t>
      </w:r>
      <w:r w:rsidR="00227B58">
        <w:rPr>
          <w:rFonts w:ascii="Times New Roman" w:hAnsi="Times New Roman"/>
          <w:sz w:val="28"/>
          <w:szCs w:val="28"/>
        </w:rPr>
        <w:t>о</w:t>
      </w:r>
      <w:r w:rsidRPr="00272589">
        <w:rPr>
          <w:rFonts w:ascii="Times New Roman" w:hAnsi="Times New Roman"/>
          <w:sz w:val="28"/>
          <w:szCs w:val="28"/>
        </w:rPr>
        <w:t xml:space="preserve"> расход</w:t>
      </w:r>
      <w:r w:rsidR="00227B58">
        <w:rPr>
          <w:rFonts w:ascii="Times New Roman" w:hAnsi="Times New Roman"/>
          <w:sz w:val="28"/>
          <w:szCs w:val="28"/>
        </w:rPr>
        <w:t>ование</w:t>
      </w:r>
      <w:r w:rsidRPr="00272589">
        <w:rPr>
          <w:rFonts w:ascii="Times New Roman" w:hAnsi="Times New Roman"/>
          <w:sz w:val="28"/>
          <w:szCs w:val="28"/>
        </w:rPr>
        <w:t xml:space="preserve"> бюджетных средств на оплату административных штрафов</w:t>
      </w:r>
      <w:r w:rsidR="00227B58">
        <w:rPr>
          <w:rFonts w:ascii="Times New Roman" w:hAnsi="Times New Roman"/>
          <w:sz w:val="28"/>
          <w:szCs w:val="28"/>
        </w:rPr>
        <w:t xml:space="preserve"> (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платежны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поручения </w:t>
      </w:r>
      <w:r w:rsidR="00227B58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№ 9349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28.05.2020 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на сумму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50 000,00 руб.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27B58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№ 15061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21.08.2020 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на сумму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50 000,00 руб.</w:t>
      </w:r>
      <w:r w:rsidR="00227B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D4FCA" w:rsidRPr="003250FE" w:rsidRDefault="003250FE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</w:t>
      </w: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>допущено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</w:t>
      </w:r>
      <w:r w:rsidR="00455D2A" w:rsidRPr="003250F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D2A" w:rsidRPr="003250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5D2A" w:rsidRPr="003250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55D2A" w:rsidRPr="003250FE">
        <w:rPr>
          <w:rFonts w:ascii="Times New Roman" w:eastAsia="Times New Roman" w:hAnsi="Times New Roman"/>
          <w:sz w:val="28"/>
          <w:szCs w:val="28"/>
          <w:lang w:eastAsia="ru-RU"/>
        </w:rPr>
        <w:t>пользование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 </w:t>
      </w: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D4FCA" w:rsidRP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100 000,00 руб.</w:t>
      </w:r>
    </w:p>
    <w:p w:rsidR="000D4FCA" w:rsidRPr="003250FE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0FE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01.01.2021 нарушений не выявила.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272589">
        <w:rPr>
          <w:rFonts w:ascii="Times New Roman" w:hAnsi="Times New Roman"/>
          <w:sz w:val="28"/>
          <w:szCs w:val="28"/>
        </w:rPr>
        <w:t>(ф. 0503127)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C90558" w:rsidRPr="00272589" w:rsidRDefault="000D4FCA" w:rsidP="0027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 бюджетных обяз</w:t>
      </w:r>
      <w:r w:rsidRPr="00272589">
        <w:rPr>
          <w:rFonts w:ascii="Times New Roman" w:hAnsi="Times New Roman"/>
          <w:sz w:val="28"/>
          <w:szCs w:val="28"/>
        </w:rPr>
        <w:t>а</w:t>
      </w:r>
      <w:r w:rsidRPr="00272589">
        <w:rPr>
          <w:rFonts w:ascii="Times New Roman" w:hAnsi="Times New Roman"/>
          <w:sz w:val="28"/>
          <w:szCs w:val="28"/>
        </w:rPr>
        <w:t>тельств, принятых бюджетных</w:t>
      </w:r>
      <w:r w:rsidR="00464444" w:rsidRPr="00272589">
        <w:rPr>
          <w:rFonts w:ascii="Times New Roman" w:hAnsi="Times New Roman"/>
          <w:sz w:val="28"/>
          <w:szCs w:val="28"/>
        </w:rPr>
        <w:t xml:space="preserve"> и</w:t>
      </w:r>
      <w:r w:rsidRPr="00272589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464444" w:rsidRPr="00272589">
        <w:rPr>
          <w:rFonts w:ascii="Times New Roman" w:hAnsi="Times New Roman"/>
          <w:sz w:val="28"/>
          <w:szCs w:val="28"/>
        </w:rPr>
        <w:t>,</w:t>
      </w:r>
      <w:r w:rsidRPr="00272589">
        <w:rPr>
          <w:rFonts w:ascii="Times New Roman" w:hAnsi="Times New Roman"/>
          <w:sz w:val="28"/>
          <w:szCs w:val="28"/>
        </w:rPr>
        <w:t xml:space="preserve"> исполненных дене</w:t>
      </w:r>
      <w:r w:rsidRPr="00272589">
        <w:rPr>
          <w:rFonts w:ascii="Times New Roman" w:hAnsi="Times New Roman"/>
          <w:sz w:val="28"/>
          <w:szCs w:val="28"/>
        </w:rPr>
        <w:t>ж</w:t>
      </w:r>
      <w:r w:rsidR="00C90558" w:rsidRPr="00272589">
        <w:rPr>
          <w:rFonts w:ascii="Times New Roman" w:hAnsi="Times New Roman"/>
          <w:sz w:val="28"/>
          <w:szCs w:val="28"/>
        </w:rPr>
        <w:t>ных обязательствах.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Данные показателей формы </w:t>
      </w:r>
      <w:r w:rsidR="00464444" w:rsidRPr="00272589">
        <w:rPr>
          <w:rFonts w:ascii="Times New Roman" w:hAnsi="Times New Roman"/>
          <w:sz w:val="28"/>
          <w:szCs w:val="28"/>
        </w:rPr>
        <w:t>О</w:t>
      </w:r>
      <w:r w:rsidRPr="00272589">
        <w:rPr>
          <w:rFonts w:ascii="Times New Roman" w:hAnsi="Times New Roman"/>
          <w:sz w:val="28"/>
          <w:szCs w:val="28"/>
        </w:rPr>
        <w:t>тчета о бюджетных обязательствах соотве</w:t>
      </w:r>
      <w:r w:rsidRPr="00272589">
        <w:rPr>
          <w:rFonts w:ascii="Times New Roman" w:hAnsi="Times New Roman"/>
          <w:sz w:val="28"/>
          <w:szCs w:val="28"/>
        </w:rPr>
        <w:t>т</w:t>
      </w:r>
      <w:r w:rsidRPr="00272589">
        <w:rPr>
          <w:rFonts w:ascii="Times New Roman" w:hAnsi="Times New Roman"/>
          <w:sz w:val="28"/>
          <w:szCs w:val="28"/>
        </w:rPr>
        <w:t xml:space="preserve">ствуют данным формы </w:t>
      </w:r>
      <w:r w:rsidR="00464444" w:rsidRPr="00272589">
        <w:rPr>
          <w:rFonts w:ascii="Times New Roman" w:hAnsi="Times New Roman"/>
          <w:sz w:val="28"/>
          <w:szCs w:val="28"/>
        </w:rPr>
        <w:t>О</w:t>
      </w:r>
      <w:r w:rsidRPr="00272589">
        <w:rPr>
          <w:rFonts w:ascii="Times New Roman" w:hAnsi="Times New Roman"/>
          <w:sz w:val="28"/>
          <w:szCs w:val="28"/>
        </w:rPr>
        <w:t xml:space="preserve">тчета об исполнении бюджета (ф.0503127) и </w:t>
      </w:r>
      <w:r w:rsidR="00464444" w:rsidRPr="00272589">
        <w:rPr>
          <w:rFonts w:ascii="Times New Roman" w:hAnsi="Times New Roman"/>
          <w:sz w:val="28"/>
          <w:szCs w:val="28"/>
        </w:rPr>
        <w:t>С</w:t>
      </w:r>
      <w:r w:rsidRPr="00272589">
        <w:rPr>
          <w:rFonts w:ascii="Times New Roman" w:hAnsi="Times New Roman"/>
          <w:sz w:val="28"/>
          <w:szCs w:val="28"/>
        </w:rPr>
        <w:t>ведениям о принятых и неисполненных обязательствах получателя бюджетных средств (ф. 0503175).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464444" w:rsidRPr="00272589">
        <w:rPr>
          <w:rFonts w:ascii="Times New Roman" w:hAnsi="Times New Roman"/>
          <w:sz w:val="28"/>
          <w:szCs w:val="28"/>
        </w:rPr>
        <w:t>О</w:t>
      </w:r>
      <w:r w:rsidRPr="00272589">
        <w:rPr>
          <w:rFonts w:ascii="Times New Roman" w:hAnsi="Times New Roman"/>
          <w:sz w:val="28"/>
          <w:szCs w:val="28"/>
        </w:rPr>
        <w:t>тчета о бюджетных обязательствах (ф. 0503128)</w:t>
      </w:r>
      <w:r w:rsidR="00E14F74">
        <w:rPr>
          <w:rFonts w:ascii="Times New Roman" w:hAnsi="Times New Roman"/>
          <w:sz w:val="28"/>
          <w:szCs w:val="28"/>
        </w:rPr>
        <w:t>,</w:t>
      </w:r>
      <w:r w:rsidRPr="00272589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272589">
        <w:rPr>
          <w:rFonts w:ascii="Times New Roman" w:hAnsi="Times New Roman"/>
          <w:sz w:val="28"/>
          <w:szCs w:val="28"/>
        </w:rPr>
        <w:t>н</w:t>
      </w:r>
      <w:r w:rsidRPr="00272589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0D4FCA" w:rsidRPr="00272589" w:rsidRDefault="000D4FCA" w:rsidP="00272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0D4FCA" w:rsidRPr="00272589" w:rsidRDefault="000D4FCA" w:rsidP="00B2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вов (ф. 0503168)</w:t>
      </w:r>
      <w:r w:rsidR="001C56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01.01.2021 расхождений не установлено. Б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составила 17 758 180,64 руб.</w:t>
      </w:r>
    </w:p>
    <w:p w:rsidR="000D4FCA" w:rsidRPr="00272589" w:rsidRDefault="000D4FCA" w:rsidP="00B2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Амо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тизация основных средств по бюджетной деятельности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01.01.2021 по данным Баланса (ф. 0503130) составила 349 280,55 руб., что та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же соответствует данным, отраженным в Сведениях о движении нефинансовых акт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вов (ф. 0503168).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составила 40 498,00 руб., что соответствует данным об остатках материальных запасов, 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раженны</w:t>
      </w:r>
      <w:r w:rsidR="00D320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Балансе (ф. 0503130) и Сведениях о движении нефинансовых активов (ф. 0503168).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Вложения в нефинансовые активы по состоянию на 01.01.2021 составили 22 953 372,78 руб., что соответств</w:t>
      </w:r>
      <w:bookmarkStart w:id="0" w:name="_GoBack"/>
      <w:bookmarkEnd w:id="0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ует данным об остатках вложений в нефинанс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вые активы, отраженны</w:t>
      </w:r>
      <w:r w:rsidR="00D320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Балансе (ф. 0503130)</w:t>
      </w:r>
      <w:r w:rsidR="00D320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вложениям в основные сре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ства, отраженны</w:t>
      </w:r>
      <w:r w:rsidR="00D320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Сведениях о движении нефинансовых активов (ф. 0503168).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задолженность) (ф. 0503169)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5 330 347,13 руб.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том числе дебиторская задолженность: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- по счету 130302 в сумме 1 146,48 руб.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за Фондом социального страхов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ния, которая образовалась в декабре 2020 года в связи с превышение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м расходов по больничным листам;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- по счету 120551 в сумме 5 329 200,65 руб. в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связи с заключением Согл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шения по финансированию на строительство газопроводов на 2020 и 2021 го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E1C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торская задолженность) (ф. 0503169) 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на 01.01.2021 по счету 130305 составила 4 515 002,42 руб. в связи с остатками неиспользованных субсидий, к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торые </w:t>
      </w:r>
      <w:r w:rsidR="00743B73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2021 года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возвращены в Министерство транспорта 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и Министерство 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и благоустройства Пермск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1ABA">
        <w:rPr>
          <w:rFonts w:ascii="Times New Roman" w:eastAsia="Times New Roman" w:hAnsi="Times New Roman"/>
          <w:sz w:val="28"/>
          <w:szCs w:val="28"/>
          <w:lang w:eastAsia="ru-RU"/>
        </w:rPr>
        <w:t>го края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</w:t>
      </w:r>
      <w:r w:rsidR="00743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 0503130).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об остатках денежных средств на счетах получателя бюджетных средств (ф. 0503178) по средствам во временном распоряжении нарушений не обнаружено.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Остаток средств во временном распоряжении по состоянию на 01.01.</w:t>
      </w:r>
      <w:r w:rsidR="00743B7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21 в сумме 373 930,68 руб., отраженный в Сведениях об остатках денежных средств на счетах получателя бюджетных средств (ф. 0503178)</w:t>
      </w:r>
      <w:r w:rsidR="00743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Балансу (ф. 0503130).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По Сведениям о вложениях в объекты недвижимого имущества, объектах незавершенного строительства (ф. 0503190) замечаний нет.</w:t>
      </w:r>
    </w:p>
    <w:p w:rsidR="000D4FCA" w:rsidRPr="00272589" w:rsidRDefault="000D4FCA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</w:t>
      </w:r>
      <w:r w:rsidR="00876B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876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ввиду отсутствия числовых показателей в соответствии с пунктом 8 Инструкции № 191н: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0" w:history="1">
        <w:r w:rsidRPr="00272589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 финансовых вложениях получателя бюджетных средств, адм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1" w:history="1">
        <w:r w:rsidRPr="00272589">
          <w:rPr>
            <w:rFonts w:ascii="Times New Roman" w:eastAsia="Times New Roman" w:hAnsi="Times New Roman"/>
            <w:sz w:val="28"/>
            <w:szCs w:val="28"/>
            <w:lang w:eastAsia="ru-RU"/>
          </w:rPr>
          <w:t>(ф. 0503171)</w:t>
        </w:r>
      </w:hyperlink>
      <w:r w:rsidRP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2" w:history="1">
        <w:r w:rsidRPr="00272589">
          <w:rPr>
            <w:rFonts w:ascii="Times New Roman" w:hAnsi="Times New Roman"/>
            <w:sz w:val="28"/>
            <w:szCs w:val="28"/>
          </w:rPr>
          <w:t>(ф. 0503172)</w:t>
        </w:r>
      </w:hyperlink>
      <w:r w:rsidRP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об изменении остатков валюты баланса </w:t>
      </w:r>
      <w:hyperlink r:id="rId13" w:history="1">
        <w:r w:rsidRPr="00272589">
          <w:rPr>
            <w:rFonts w:ascii="Times New Roman" w:hAnsi="Times New Roman"/>
            <w:sz w:val="28"/>
            <w:szCs w:val="28"/>
          </w:rPr>
          <w:t>(ф. 0503173)</w:t>
        </w:r>
      </w:hyperlink>
      <w:r w:rsidRP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4" w:history="1">
        <w:r w:rsidRPr="00272589">
          <w:rPr>
            <w:rFonts w:ascii="Times New Roman" w:hAnsi="Times New Roman"/>
            <w:sz w:val="28"/>
            <w:szCs w:val="28"/>
          </w:rPr>
          <w:t>(ф. 0503174)</w:t>
        </w:r>
      </w:hyperlink>
      <w:r w:rsidRPr="00272589">
        <w:rPr>
          <w:rFonts w:ascii="Times New Roman" w:hAnsi="Times New Roman"/>
          <w:sz w:val="28"/>
          <w:szCs w:val="28"/>
        </w:rPr>
        <w:t>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5" w:history="1">
        <w:r w:rsidRPr="00272589">
          <w:rPr>
            <w:rFonts w:ascii="Times New Roman" w:hAnsi="Times New Roman"/>
            <w:sz w:val="28"/>
            <w:szCs w:val="28"/>
          </w:rPr>
          <w:t>(ф. 0503178)</w:t>
        </w:r>
      </w:hyperlink>
      <w:r w:rsidRPr="00272589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0D4FCA" w:rsidRPr="00272589" w:rsidRDefault="000D4FCA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272589">
          <w:rPr>
            <w:rFonts w:ascii="Times New Roman" w:hAnsi="Times New Roman"/>
            <w:sz w:val="28"/>
            <w:szCs w:val="28"/>
          </w:rPr>
          <w:t>(ф. 0503296)</w:t>
        </w:r>
      </w:hyperlink>
      <w:r w:rsidRPr="00272589">
        <w:rPr>
          <w:rFonts w:ascii="Times New Roman" w:hAnsi="Times New Roman"/>
          <w:sz w:val="28"/>
          <w:szCs w:val="28"/>
        </w:rPr>
        <w:t>.</w:t>
      </w:r>
    </w:p>
    <w:p w:rsidR="007607CB" w:rsidRPr="00272589" w:rsidRDefault="007607CB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Default="00806751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3250FE" w:rsidRPr="00272589" w:rsidRDefault="003250FE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3E0" w:rsidRPr="00272589" w:rsidRDefault="00FE73E0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Управлением капитального строительства закреплены доходы бюджета на 2020 год в сумме 135 164,91 тыс. руб. Фактическое исполнение по доходам за 2020 год составило 122 535,24 тыс. руб.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90,66% утвержденных бюджетных назначений.</w:t>
      </w:r>
    </w:p>
    <w:p w:rsidR="00FE73E0" w:rsidRPr="00272589" w:rsidRDefault="00FE73E0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Управления капитального стро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на 2020 год составили 207 630,82 тыс. руб. 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>Фактическое исполнение по 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асходн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190 078,17 тыс. руб.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91,55%</w:t>
      </w:r>
      <w:r w:rsidR="00B00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417" w:rsidRPr="00272589">
        <w:rPr>
          <w:rFonts w:ascii="Times New Roman" w:eastAsia="Times New Roman" w:hAnsi="Times New Roman"/>
          <w:sz w:val="28"/>
          <w:szCs w:val="28"/>
          <w:lang w:eastAsia="ru-RU"/>
        </w:rPr>
        <w:t>утве</w:t>
      </w:r>
      <w:r w:rsidR="00B00417" w:rsidRPr="002725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00417" w:rsidRPr="00272589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3E0" w:rsidRPr="00272589" w:rsidRDefault="00FE73E0" w:rsidP="0027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Состав форм бюджетной отчетности Управления капитального стро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соответствует требованиям </w:t>
      </w:r>
      <w:r w:rsidRPr="00272589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FE73E0" w:rsidRPr="00272589" w:rsidRDefault="00FE73E0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FE73E0" w:rsidRPr="00272589" w:rsidRDefault="00FE73E0" w:rsidP="00272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ния в разделе 2 текстовой части Пояснительной записки (ф. 0503160) информации о мерах по повышению эффективности расходования бюджетных средств.</w:t>
      </w:r>
    </w:p>
    <w:p w:rsidR="00FE73E0" w:rsidRPr="00272589" w:rsidRDefault="00FE73E0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5. В нарушение статьи 34 Б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К РФ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допущено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</w:t>
      </w:r>
      <w:r w:rsidR="00D12796" w:rsidRPr="0027258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796" w:rsidRPr="00272589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умме 100 000,00 руб. 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штр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фов.</w:t>
      </w:r>
    </w:p>
    <w:p w:rsidR="00FE73E0" w:rsidRPr="00272589" w:rsidRDefault="00FE73E0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6. В ходе проверки выявлены нарушения, в целом не оказавшие влияния на достоверность бюджетной отчетности Управления капитального строительства за 2020 год.</w:t>
      </w:r>
    </w:p>
    <w:p w:rsidR="00FE73E0" w:rsidRPr="00272589" w:rsidRDefault="00FE73E0" w:rsidP="00272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7. Проведенная проверка годовой бюджетной отчетности за 2020 год гла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proofErr w:type="gramStart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</w:t>
      </w:r>
      <w:r w:rsidR="0032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</w:t>
      </w:r>
      <w:proofErr w:type="gramEnd"/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вание полагать, что отчетность является достоверной.</w:t>
      </w:r>
    </w:p>
    <w:p w:rsidR="00FE73E0" w:rsidRPr="00272589" w:rsidRDefault="00FE73E0" w:rsidP="00272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272589" w:rsidRPr="00272589" w:rsidRDefault="00272589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FB5" w:rsidRPr="00272589" w:rsidRDefault="00877FB5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а п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овысить качество управления муниципальными финансами в части обеспечения исполнения расходов в утве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2589">
        <w:rPr>
          <w:rFonts w:ascii="Times New Roman" w:eastAsia="Times New Roman" w:hAnsi="Times New Roman"/>
          <w:sz w:val="28"/>
          <w:szCs w:val="28"/>
          <w:lang w:eastAsia="ru-RU"/>
        </w:rPr>
        <w:t>жденных объемах, минимизации дебиторской и кредиторской задолженностей.</w:t>
      </w:r>
    </w:p>
    <w:p w:rsidR="00735F7C" w:rsidRPr="00272589" w:rsidRDefault="00877FB5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5F7C"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Контрольно-счетной палаты Суксунского г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2589" w:rsidRPr="006759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</w:t>
      </w:r>
      <w:r w:rsid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272589" w:rsidRDefault="00877FB5" w:rsidP="00272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35F7C" w:rsidRPr="002725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272589">
        <w:rPr>
          <w:rFonts w:ascii="Times New Roman" w:eastAsia="Times New Roman" w:hAnsi="Times New Roman"/>
          <w:sz w:val="28"/>
          <w:szCs w:val="28"/>
          <w:lang w:eastAsia="ru-RU"/>
        </w:rPr>
        <w:t>приятия в Думу Суксунского городского округа и главе городского округа – главе Администрации Суксунского городского округа.</w:t>
      </w:r>
    </w:p>
    <w:p w:rsidR="00D43542" w:rsidRDefault="00D43542" w:rsidP="00272589">
      <w:pPr>
        <w:pStyle w:val="21"/>
        <w:spacing w:line="240" w:lineRule="exact"/>
        <w:ind w:firstLine="0"/>
      </w:pPr>
    </w:p>
    <w:p w:rsidR="00272589" w:rsidRPr="006D2F8D" w:rsidRDefault="00272589" w:rsidP="00272589">
      <w:pPr>
        <w:pStyle w:val="21"/>
        <w:spacing w:line="240" w:lineRule="exact"/>
        <w:ind w:firstLine="0"/>
      </w:pPr>
    </w:p>
    <w:p w:rsidR="004F76E4" w:rsidRPr="006D2F8D" w:rsidRDefault="000F2F77" w:rsidP="002725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272589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2725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272589">
        <w:rPr>
          <w:rFonts w:ascii="Times New Roman" w:hAnsi="Times New Roman"/>
          <w:sz w:val="28"/>
          <w:szCs w:val="28"/>
        </w:rPr>
        <w:t xml:space="preserve">а Пермского края 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О.Г. Туголукова</w:t>
      </w:r>
    </w:p>
    <w:sectPr w:rsidR="00A816AB" w:rsidRPr="006D2F8D" w:rsidSect="00B20BC8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E9" w:rsidRDefault="006E4EE9" w:rsidP="004F76E4">
      <w:pPr>
        <w:spacing w:after="0" w:line="240" w:lineRule="auto"/>
      </w:pPr>
      <w:r>
        <w:separator/>
      </w:r>
    </w:p>
  </w:endnote>
  <w:endnote w:type="continuationSeparator" w:id="0">
    <w:p w:rsidR="006E4EE9" w:rsidRDefault="006E4EE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E9" w:rsidRDefault="006E4EE9" w:rsidP="004F76E4">
      <w:pPr>
        <w:spacing w:after="0" w:line="240" w:lineRule="auto"/>
      </w:pPr>
      <w:r>
        <w:separator/>
      </w:r>
    </w:p>
  </w:footnote>
  <w:footnote w:type="continuationSeparator" w:id="0">
    <w:p w:rsidR="006E4EE9" w:rsidRDefault="006E4EE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0DA0" w:rsidRPr="00255904" w:rsidRDefault="005E0D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20BC8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0DA0" w:rsidRDefault="005E0D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A0" w:rsidRDefault="005E0DA0">
    <w:pPr>
      <w:pStyle w:val="aa"/>
      <w:jc w:val="center"/>
    </w:pPr>
  </w:p>
  <w:p w:rsidR="005E0DA0" w:rsidRDefault="005E0D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30F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15A0"/>
    <w:rsid w:val="000D2A9C"/>
    <w:rsid w:val="000D4C8F"/>
    <w:rsid w:val="000D4FCA"/>
    <w:rsid w:val="000D5502"/>
    <w:rsid w:val="000D71E0"/>
    <w:rsid w:val="000E1964"/>
    <w:rsid w:val="000E1C63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C5667"/>
    <w:rsid w:val="001C7FBF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4654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27B58"/>
    <w:rsid w:val="0023165D"/>
    <w:rsid w:val="00233452"/>
    <w:rsid w:val="0023465D"/>
    <w:rsid w:val="00236C69"/>
    <w:rsid w:val="00240B4C"/>
    <w:rsid w:val="002447C9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589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04D68"/>
    <w:rsid w:val="003113F1"/>
    <w:rsid w:val="00311668"/>
    <w:rsid w:val="00313F4C"/>
    <w:rsid w:val="003176AC"/>
    <w:rsid w:val="0032029D"/>
    <w:rsid w:val="00323D7D"/>
    <w:rsid w:val="003244DF"/>
    <w:rsid w:val="0032500A"/>
    <w:rsid w:val="003250FE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35B3"/>
    <w:rsid w:val="003559F1"/>
    <w:rsid w:val="0035699F"/>
    <w:rsid w:val="0035713A"/>
    <w:rsid w:val="00357E4D"/>
    <w:rsid w:val="003676B2"/>
    <w:rsid w:val="00380DB0"/>
    <w:rsid w:val="003853BD"/>
    <w:rsid w:val="00385C6A"/>
    <w:rsid w:val="0039027F"/>
    <w:rsid w:val="00390647"/>
    <w:rsid w:val="0039231B"/>
    <w:rsid w:val="00393782"/>
    <w:rsid w:val="003946DE"/>
    <w:rsid w:val="003958FB"/>
    <w:rsid w:val="00396E9A"/>
    <w:rsid w:val="003A0D3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6C78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3135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55D2A"/>
    <w:rsid w:val="004562E5"/>
    <w:rsid w:val="00463A5B"/>
    <w:rsid w:val="00464444"/>
    <w:rsid w:val="004674E9"/>
    <w:rsid w:val="0047054B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0DA0"/>
    <w:rsid w:val="005E5D77"/>
    <w:rsid w:val="005E5F6D"/>
    <w:rsid w:val="005F14C8"/>
    <w:rsid w:val="005F1C21"/>
    <w:rsid w:val="005F2C43"/>
    <w:rsid w:val="005F501F"/>
    <w:rsid w:val="005F7953"/>
    <w:rsid w:val="00602432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2239"/>
    <w:rsid w:val="006759CB"/>
    <w:rsid w:val="00676AC3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4EE9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3B73"/>
    <w:rsid w:val="00746406"/>
    <w:rsid w:val="00756890"/>
    <w:rsid w:val="007607CB"/>
    <w:rsid w:val="007624D6"/>
    <w:rsid w:val="00762C71"/>
    <w:rsid w:val="00765471"/>
    <w:rsid w:val="00765940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1ABA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15876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6B8C"/>
    <w:rsid w:val="008779C9"/>
    <w:rsid w:val="00877FB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3462"/>
    <w:rsid w:val="00924E43"/>
    <w:rsid w:val="00925FF0"/>
    <w:rsid w:val="0093120C"/>
    <w:rsid w:val="009422E1"/>
    <w:rsid w:val="009447A0"/>
    <w:rsid w:val="00945101"/>
    <w:rsid w:val="00961659"/>
    <w:rsid w:val="00962201"/>
    <w:rsid w:val="00963A4E"/>
    <w:rsid w:val="00975265"/>
    <w:rsid w:val="00976B0E"/>
    <w:rsid w:val="00976DF2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1EEB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3F20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16C3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5F70"/>
    <w:rsid w:val="00AE6E69"/>
    <w:rsid w:val="00AF2073"/>
    <w:rsid w:val="00AF24B7"/>
    <w:rsid w:val="00AF4B45"/>
    <w:rsid w:val="00AF7968"/>
    <w:rsid w:val="00B00417"/>
    <w:rsid w:val="00B054EF"/>
    <w:rsid w:val="00B058BF"/>
    <w:rsid w:val="00B0648D"/>
    <w:rsid w:val="00B12015"/>
    <w:rsid w:val="00B12396"/>
    <w:rsid w:val="00B14A35"/>
    <w:rsid w:val="00B14C0D"/>
    <w:rsid w:val="00B15BCC"/>
    <w:rsid w:val="00B16061"/>
    <w:rsid w:val="00B20BC8"/>
    <w:rsid w:val="00B23960"/>
    <w:rsid w:val="00B3074C"/>
    <w:rsid w:val="00B33DFA"/>
    <w:rsid w:val="00B3412D"/>
    <w:rsid w:val="00B35279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556CC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68EE"/>
    <w:rsid w:val="00B96934"/>
    <w:rsid w:val="00BA00AC"/>
    <w:rsid w:val="00BA0B42"/>
    <w:rsid w:val="00BA1C75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4CBC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0558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06F84"/>
    <w:rsid w:val="00D12796"/>
    <w:rsid w:val="00D2329B"/>
    <w:rsid w:val="00D26673"/>
    <w:rsid w:val="00D30DF3"/>
    <w:rsid w:val="00D3113B"/>
    <w:rsid w:val="00D3209E"/>
    <w:rsid w:val="00D3251B"/>
    <w:rsid w:val="00D3315F"/>
    <w:rsid w:val="00D34629"/>
    <w:rsid w:val="00D40879"/>
    <w:rsid w:val="00D411E8"/>
    <w:rsid w:val="00D43542"/>
    <w:rsid w:val="00D43D40"/>
    <w:rsid w:val="00D61231"/>
    <w:rsid w:val="00D63CC6"/>
    <w:rsid w:val="00D65630"/>
    <w:rsid w:val="00D70957"/>
    <w:rsid w:val="00D70F4E"/>
    <w:rsid w:val="00D718BE"/>
    <w:rsid w:val="00D73D01"/>
    <w:rsid w:val="00D8279A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357D"/>
    <w:rsid w:val="00E01049"/>
    <w:rsid w:val="00E019FA"/>
    <w:rsid w:val="00E040F6"/>
    <w:rsid w:val="00E06F1E"/>
    <w:rsid w:val="00E07708"/>
    <w:rsid w:val="00E14F74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490B"/>
    <w:rsid w:val="00E574C9"/>
    <w:rsid w:val="00E62941"/>
    <w:rsid w:val="00E63C44"/>
    <w:rsid w:val="00E671D0"/>
    <w:rsid w:val="00E746AB"/>
    <w:rsid w:val="00E74F22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21D2"/>
    <w:rsid w:val="00EC37AB"/>
    <w:rsid w:val="00ED128C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0A56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0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consultantplus://offline/ref=EEA58529EC8CE0CE9F361194AB29FD6D2A8CCE9C48D2E9A6204B381D01244D07931C2ECBF75A67DDAA97BEB14D23B1A49E36562E245AVE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9806-2288-4F53-832A-8109AE7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307</cp:revision>
  <cp:lastPrinted>2021-04-23T13:59:00Z</cp:lastPrinted>
  <dcterms:created xsi:type="dcterms:W3CDTF">2018-08-17T10:08:00Z</dcterms:created>
  <dcterms:modified xsi:type="dcterms:W3CDTF">2021-04-23T14:01:00Z</dcterms:modified>
</cp:coreProperties>
</file>